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504380</w:t>
      </w:r>
    </w:p>
    <w:p w14:paraId="7709B37C">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Malta, MT, 19</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-23</w:t>
      </w:r>
      <w:r>
        <w:rPr>
          <w:rFonts w:hint="eastAsia" w:ascii="Arial" w:hAnsi="Arial" w:eastAsia="宋体" w:cs="Arial"/>
          <w:b/>
          <w:bCs/>
          <w:kern w:val="0"/>
          <w:sz w:val="24"/>
          <w:szCs w:val="24"/>
          <w:vertAlign w:val="superscript"/>
        </w:rPr>
        <w:t>rd</w:t>
      </w:r>
      <w:r>
        <w:rPr>
          <w:rFonts w:hint="eastAsia" w:ascii="Arial" w:hAnsi="Arial" w:eastAsia="宋体" w:cs="Arial"/>
          <w:b/>
          <w:bCs/>
          <w:kern w:val="0"/>
          <w:sz w:val="24"/>
          <w:szCs w:val="24"/>
        </w:rPr>
        <w:t xml:space="preserve"> May 2025</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3.4</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data collection for AI Mob</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RAN2 had the following agreements on data collection for AI Mob:</w:t>
      </w:r>
    </w:p>
    <w:p w14:paraId="7A45EF02">
      <w:pPr>
        <w:pStyle w:val="25"/>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ind w:left="1621" w:hanging="363"/>
        <w:textAlignment w:val="auto"/>
        <w:rPr>
          <w:rFonts w:hint="default" w:ascii="Arial" w:hAnsi="Arial" w:cs="Arial"/>
          <w:sz w:val="20"/>
          <w:szCs w:val="22"/>
          <w:lang w:eastAsia="zh-CN"/>
        </w:rPr>
      </w:pPr>
      <w:r>
        <w:rPr>
          <w:rFonts w:hint="default" w:ascii="Arial" w:hAnsi="Arial" w:cs="Arial"/>
          <w:sz w:val="20"/>
          <w:szCs w:val="22"/>
          <w:lang w:eastAsia="zh-CN"/>
        </w:rPr>
        <w:t xml:space="preserve">As a baseline, use the AI ML PHY NW-side data collection procedures, configuration and reporting framework.  </w:t>
      </w:r>
    </w:p>
    <w:p w14:paraId="355BF6CE">
      <w:pPr>
        <w:pStyle w:val="25"/>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ind w:left="1621" w:hanging="363"/>
        <w:textAlignment w:val="auto"/>
        <w:rPr>
          <w:rFonts w:hint="default" w:ascii="Arial" w:hAnsi="Arial" w:cs="Arial"/>
          <w:sz w:val="20"/>
          <w:szCs w:val="22"/>
          <w:lang w:eastAsia="zh-CN"/>
        </w:rPr>
      </w:pPr>
      <w:r>
        <w:rPr>
          <w:rFonts w:hint="default" w:ascii="Arial" w:hAnsi="Arial" w:cs="Arial"/>
          <w:sz w:val="20"/>
          <w:szCs w:val="22"/>
          <w:lang w:eastAsia="zh-CN"/>
        </w:rPr>
        <w:t xml:space="preserve">Study UE side data collection configuration, taking AI ML PHY relevant procedure as baseline. Postpone UE side data collection transfer discussion until further progress is made in AI ML PHY in R20. </w:t>
      </w:r>
    </w:p>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According to the guidance from chair lady, this contribution will focus on general data collection procedure, and specific data content for model training for RRM measurement prediction with UE-sided model and NW-sided model, and for measurement event prediction with UE-sided model.</w:t>
      </w:r>
    </w:p>
    <w:p w14:paraId="4B85BB60">
      <w:pPr>
        <w:keepNext/>
        <w:keepLines/>
        <w:widowControl/>
        <w:numPr>
          <w:ilvl w:val="0"/>
          <w:numId w:val="7"/>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7531504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NW-side data collection procedure</w:t>
      </w:r>
    </w:p>
    <w:p w14:paraId="15CC762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i/>
          <w:iCs/>
          <w:sz w:val="21"/>
          <w:szCs w:val="21"/>
          <w:highlight w:val="none"/>
          <w:u w:val="single"/>
          <w:lang w:val="en-US" w:eastAsia="zh-CN"/>
        </w:rPr>
      </w:pPr>
      <w:r>
        <w:rPr>
          <w:rFonts w:hint="eastAsia" w:ascii="Arial" w:hAnsi="Arial" w:cs="Arial"/>
          <w:b/>
          <w:bCs/>
          <w:i/>
          <w:iCs/>
          <w:sz w:val="21"/>
          <w:szCs w:val="21"/>
          <w:highlight w:val="none"/>
          <w:u w:val="single"/>
          <w:lang w:val="en-US" w:eastAsia="zh-CN"/>
        </w:rPr>
        <w:t>General</w:t>
      </w:r>
    </w:p>
    <w:p w14:paraId="1171056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sz w:val="21"/>
          <w:szCs w:val="21"/>
          <w:highlight w:val="none"/>
          <w:lang w:val="en-US" w:eastAsia="zh-CN"/>
        </w:rPr>
      </w:pPr>
      <w:r>
        <w:rPr>
          <w:rFonts w:hint="eastAsia" w:ascii="Arial" w:hAnsi="Arial" w:cs="Arial"/>
          <w:sz w:val="21"/>
          <w:szCs w:val="21"/>
          <w:lang w:val="en-US" w:eastAsia="zh-CN"/>
        </w:rPr>
        <w:t xml:space="preserve">During the discussion on NW-side data </w:t>
      </w:r>
      <w:r>
        <w:rPr>
          <w:rFonts w:hint="default" w:ascii="Arial" w:hAnsi="Arial" w:cs="Arial"/>
          <w:sz w:val="21"/>
          <w:szCs w:val="21"/>
        </w:rPr>
        <w:t xml:space="preserve">collection </w:t>
      </w:r>
      <w:r>
        <w:rPr>
          <w:rFonts w:hint="eastAsia" w:ascii="Arial" w:hAnsi="Arial" w:cs="Arial"/>
          <w:sz w:val="21"/>
          <w:szCs w:val="21"/>
          <w:lang w:val="en-US" w:eastAsia="zh-CN"/>
        </w:rPr>
        <w:t>in AI/ML PHY</w:t>
      </w:r>
      <w:r>
        <w:rPr>
          <w:rFonts w:hint="default" w:ascii="Arial" w:hAnsi="Arial" w:cs="Arial"/>
          <w:sz w:val="21"/>
          <w:szCs w:val="21"/>
        </w:rPr>
        <w:t>, RAN2 consider</w:t>
      </w:r>
      <w:r>
        <w:rPr>
          <w:rFonts w:hint="eastAsia" w:ascii="Arial" w:hAnsi="Arial" w:cs="Arial"/>
          <w:sz w:val="21"/>
          <w:szCs w:val="21"/>
          <w:lang w:val="en-US" w:eastAsia="zh-CN"/>
        </w:rPr>
        <w:t>s</w:t>
      </w:r>
      <w:r>
        <w:rPr>
          <w:rFonts w:hint="default" w:ascii="Arial" w:hAnsi="Arial" w:cs="Arial"/>
          <w:sz w:val="21"/>
          <w:szCs w:val="21"/>
        </w:rPr>
        <w:t xml:space="preserve"> gNB-centric and OAM-centric approaches</w:t>
      </w:r>
      <w:r>
        <w:rPr>
          <w:rFonts w:hint="eastAsia" w:ascii="Arial" w:hAnsi="Arial" w:cs="Arial"/>
          <w:sz w:val="21"/>
          <w:szCs w:val="21"/>
          <w:lang w:val="en-US" w:eastAsia="zh-CN"/>
        </w:rPr>
        <w:t xml:space="preserve">, and </w:t>
      </w:r>
      <w:r>
        <w:rPr>
          <w:rFonts w:hint="default" w:ascii="Arial" w:hAnsi="Arial" w:cs="Arial"/>
          <w:sz w:val="21"/>
          <w:szCs w:val="21"/>
          <w:highlight w:val="none"/>
        </w:rPr>
        <w:t>aim</w:t>
      </w:r>
      <w:r>
        <w:rPr>
          <w:rFonts w:hint="eastAsia" w:ascii="Arial" w:hAnsi="Arial" w:cs="Arial"/>
          <w:sz w:val="21"/>
          <w:szCs w:val="21"/>
          <w:highlight w:val="none"/>
          <w:lang w:val="en-US" w:eastAsia="zh-CN"/>
        </w:rPr>
        <w:t>s</w:t>
      </w:r>
      <w:r>
        <w:rPr>
          <w:rFonts w:hint="default" w:ascii="Arial" w:hAnsi="Arial" w:cs="Arial"/>
          <w:sz w:val="21"/>
          <w:szCs w:val="21"/>
          <w:highlight w:val="none"/>
        </w:rPr>
        <w:t xml:space="preserve"> </w:t>
      </w:r>
      <w:r>
        <w:rPr>
          <w:rFonts w:hint="eastAsia" w:ascii="Arial" w:hAnsi="Arial" w:cs="Arial"/>
          <w:sz w:val="21"/>
          <w:szCs w:val="21"/>
          <w:highlight w:val="none"/>
          <w:lang w:val="en-US" w:eastAsia="zh-CN"/>
        </w:rPr>
        <w:t>to apply</w:t>
      </w:r>
      <w:r>
        <w:rPr>
          <w:rFonts w:hint="default" w:ascii="Arial" w:hAnsi="Arial" w:cs="Arial"/>
          <w:sz w:val="21"/>
          <w:szCs w:val="21"/>
          <w:highlight w:val="none"/>
        </w:rPr>
        <w:t xml:space="preserve"> the same measurement framework</w:t>
      </w:r>
      <w:r>
        <w:rPr>
          <w:rFonts w:hint="eastAsia" w:ascii="Arial" w:hAnsi="Arial" w:cs="Arial"/>
          <w:sz w:val="21"/>
          <w:szCs w:val="21"/>
          <w:highlight w:val="none"/>
          <w:lang w:val="en-US" w:eastAsia="zh-CN"/>
        </w:rPr>
        <w:t xml:space="preserve"> for them. Until now, RAN2 takes the immediate MDT as baseline for OAM-centric approach due to UE in connected mode, and has some progress on enhancements. For AI Mob, RAN2 can also consider both OAM-centric and gNB-centric approach for NW-side data collection for model training.</w:t>
      </w:r>
    </w:p>
    <w:p w14:paraId="1B1716A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1: RAN2 to consider gNB-centric and OAM-centric approaches for NW-sided model training data collection for AI Mob, and aims to apply the same measurement framework for them. For OAM-centric approach, RAN2 takes immediate MDT as baseline. </w:t>
      </w:r>
    </w:p>
    <w:p w14:paraId="7B8902C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sz w:val="21"/>
          <w:szCs w:val="21"/>
          <w:highlight w:val="none"/>
          <w:lang w:val="en-US" w:eastAsia="zh-CN"/>
        </w:rPr>
      </w:pPr>
    </w:p>
    <w:p w14:paraId="759CEEA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i/>
          <w:iCs/>
          <w:sz w:val="21"/>
          <w:szCs w:val="21"/>
          <w:highlight w:val="none"/>
          <w:u w:val="single"/>
          <w:lang w:val="en-US" w:eastAsia="zh-CN"/>
        </w:rPr>
      </w:pPr>
      <w:r>
        <w:rPr>
          <w:rFonts w:hint="eastAsia" w:ascii="Arial" w:hAnsi="Arial" w:cs="Arial"/>
          <w:b/>
          <w:bCs/>
          <w:i/>
          <w:iCs/>
          <w:sz w:val="21"/>
          <w:szCs w:val="21"/>
          <w:highlight w:val="none"/>
          <w:u w:val="single"/>
          <w:lang w:val="en-US" w:eastAsia="zh-CN"/>
        </w:rPr>
        <w:t>Logging</w:t>
      </w:r>
    </w:p>
    <w:p w14:paraId="103DA08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highlight w:val="none"/>
          <w:lang w:val="en-US" w:eastAsia="zh-CN"/>
        </w:rPr>
      </w:pPr>
      <w:r>
        <w:rPr>
          <w:rFonts w:hint="eastAsia" w:ascii="Arial" w:hAnsi="Arial" w:cs="Arial"/>
          <w:sz w:val="21"/>
          <w:szCs w:val="21"/>
          <w:highlight w:val="none"/>
          <w:lang w:val="en-US" w:eastAsia="zh-CN"/>
        </w:rPr>
        <w:t xml:space="preserve">In order to avoid frequent reporting and reduce the signaling overhead, logging in RRC_CONNECTED mode is optionally supported in AI/ML PHY. </w:t>
      </w:r>
      <w:r>
        <w:rPr>
          <w:rFonts w:hint="default" w:ascii="Arial" w:hAnsi="Arial" w:cs="Arial"/>
          <w:sz w:val="21"/>
          <w:szCs w:val="21"/>
          <w:highlight w:val="none"/>
          <w:lang w:val="en-US" w:eastAsia="zh-CN"/>
        </w:rPr>
        <w:t xml:space="preserve">As the baseline approach, the UE receives the measurement configuration </w:t>
      </w:r>
      <w:r>
        <w:rPr>
          <w:rFonts w:hint="eastAsia" w:ascii="Arial" w:hAnsi="Arial" w:cs="Arial"/>
          <w:sz w:val="21"/>
          <w:szCs w:val="21"/>
          <w:highlight w:val="none"/>
          <w:lang w:val="en-US" w:eastAsia="zh-CN"/>
        </w:rPr>
        <w:t>from the network, and performs measurements and logging (if supported). For AI Mob, the similar enhancement is needed.</w:t>
      </w:r>
    </w:p>
    <w:p w14:paraId="34E88C5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2: Logging in RRC_CONNECTED mode is optionally supported for model training data collection for AI Mob. </w:t>
      </w:r>
    </w:p>
    <w:p w14:paraId="4B55F62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highlight w:val="none"/>
          <w:lang w:val="en-US" w:eastAsia="zh-CN"/>
        </w:rPr>
      </w:pPr>
      <w:r>
        <w:rPr>
          <w:rFonts w:hint="eastAsia" w:ascii="Arial" w:hAnsi="Arial" w:cs="Arial"/>
          <w:sz w:val="21"/>
          <w:szCs w:val="21"/>
          <w:highlight w:val="none"/>
          <w:lang w:val="en-US" w:eastAsia="zh-CN"/>
        </w:rPr>
        <w:t>RAN2 supports periodical and event-triggered logging of L1 beam measurement results in AI PHY, and also discussed the type of triggered event, such as L1 measurement based, L3 measurement based. RAN2 agreed to s</w:t>
      </w:r>
      <w:r>
        <w:rPr>
          <w:rFonts w:hint="eastAsia" w:ascii="Arial" w:hAnsi="Arial" w:cs="Arial"/>
          <w:szCs w:val="21"/>
          <w:highlight w:val="none"/>
        </w:rPr>
        <w:t>upport the use of L3 measurement event triggered (i.e. L3 serving cell measurements becoming worse/better than a threshold for TTT) to determine whether the UE performs logging or not</w:t>
      </w:r>
      <w:r>
        <w:rPr>
          <w:rFonts w:hint="eastAsia" w:ascii="Arial" w:hAnsi="Arial" w:cs="Arial"/>
          <w:szCs w:val="21"/>
          <w:highlight w:val="none"/>
          <w:lang w:val="en-US" w:eastAsia="zh-CN"/>
        </w:rPr>
        <w:t xml:space="preserve">, and </w:t>
      </w:r>
      <w:r>
        <w:rPr>
          <w:rFonts w:hint="eastAsia" w:ascii="Arial" w:hAnsi="Arial" w:cs="Arial"/>
          <w:szCs w:val="21"/>
          <w:highlight w:val="none"/>
        </w:rPr>
        <w:t>L1 measurement event triggered will not be supported</w:t>
      </w:r>
      <w:r>
        <w:rPr>
          <w:rFonts w:hint="eastAsia" w:ascii="Arial" w:hAnsi="Arial" w:cs="Arial"/>
          <w:sz w:val="21"/>
          <w:szCs w:val="21"/>
          <w:highlight w:val="none"/>
          <w:lang w:val="en-US" w:eastAsia="zh-CN"/>
        </w:rPr>
        <w:t>. We understand the similar principle can be also applied to AI Mob.</w:t>
      </w:r>
    </w:p>
    <w:p w14:paraId="7C17028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Cs w:val="21"/>
          <w:highlight w:val="none"/>
          <w:lang w:val="en-US" w:eastAsia="zh-CN"/>
        </w:rPr>
      </w:pPr>
      <w:r>
        <w:rPr>
          <w:rFonts w:hint="eastAsia" w:ascii="Arial" w:hAnsi="Arial" w:cs="Arial"/>
          <w:b/>
          <w:bCs/>
          <w:sz w:val="21"/>
          <w:szCs w:val="21"/>
          <w:highlight w:val="none"/>
          <w:lang w:val="en-US" w:eastAsia="zh-CN"/>
        </w:rPr>
        <w:t xml:space="preserve">Proposal 3: </w:t>
      </w:r>
      <w:r>
        <w:rPr>
          <w:rFonts w:hint="eastAsia" w:ascii="Arial" w:hAnsi="Arial" w:cs="Arial"/>
          <w:b/>
          <w:bCs/>
          <w:szCs w:val="21"/>
          <w:highlight w:val="none"/>
          <w:lang w:eastAsia="zh-CN"/>
        </w:rPr>
        <w:t>P</w:t>
      </w:r>
      <w:r>
        <w:rPr>
          <w:rFonts w:hint="eastAsia" w:ascii="Arial" w:hAnsi="Arial" w:cs="Arial"/>
          <w:b/>
          <w:bCs/>
          <w:szCs w:val="21"/>
          <w:highlight w:val="none"/>
        </w:rPr>
        <w:t>eriodic</w:t>
      </w:r>
      <w:r>
        <w:rPr>
          <w:rFonts w:hint="eastAsia" w:ascii="Arial" w:hAnsi="Arial" w:cs="Arial"/>
          <w:b/>
          <w:bCs/>
          <w:szCs w:val="21"/>
          <w:highlight w:val="none"/>
          <w:lang w:val="en-US" w:eastAsia="zh-CN"/>
        </w:rPr>
        <w:t>al</w:t>
      </w:r>
      <w:r>
        <w:rPr>
          <w:rFonts w:hint="eastAsia" w:ascii="Arial" w:hAnsi="Arial" w:cs="Arial"/>
          <w:b/>
          <w:bCs/>
          <w:szCs w:val="21"/>
          <w:highlight w:val="none"/>
        </w:rPr>
        <w:t xml:space="preserve"> and L3 measurement event</w:t>
      </w:r>
      <w:r>
        <w:rPr>
          <w:rFonts w:hint="eastAsia" w:ascii="Arial" w:hAnsi="Arial" w:cs="Arial"/>
          <w:b/>
          <w:bCs/>
          <w:szCs w:val="21"/>
          <w:highlight w:val="none"/>
          <w:lang w:eastAsia="zh-CN"/>
        </w:rPr>
        <w:t xml:space="preserve"> </w:t>
      </w:r>
      <w:r>
        <w:rPr>
          <w:rFonts w:hint="eastAsia" w:ascii="Arial" w:hAnsi="Arial" w:cs="Arial"/>
          <w:b/>
          <w:bCs/>
          <w:szCs w:val="21"/>
          <w:highlight w:val="none"/>
        </w:rPr>
        <w:t>triggered logging</w:t>
      </w:r>
      <w:r>
        <w:rPr>
          <w:rFonts w:hint="eastAsia" w:ascii="Arial" w:hAnsi="Arial" w:cs="Arial"/>
          <w:b/>
          <w:bCs/>
          <w:szCs w:val="21"/>
          <w:highlight w:val="none"/>
          <w:lang w:val="en-US" w:eastAsia="zh-CN"/>
        </w:rPr>
        <w:t xml:space="preserve"> are supported for NW-side data collection for AI Mob.</w:t>
      </w:r>
    </w:p>
    <w:p w14:paraId="5461F01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szCs w:val="21"/>
          <w:highlight w:val="none"/>
          <w:lang w:val="en-US" w:eastAsia="zh-CN"/>
        </w:rPr>
      </w:pPr>
    </w:p>
    <w:p w14:paraId="0F2BE08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highlight w:val="none"/>
          <w:lang w:val="en-US" w:eastAsia="zh-CN"/>
        </w:rPr>
      </w:pPr>
      <w:r>
        <w:rPr>
          <w:rFonts w:hint="eastAsia" w:ascii="Arial" w:hAnsi="Arial" w:cs="Arial"/>
          <w:b/>
          <w:bCs/>
          <w:i/>
          <w:iCs/>
          <w:sz w:val="21"/>
          <w:szCs w:val="21"/>
          <w:highlight w:val="none"/>
          <w:u w:val="single"/>
          <w:lang w:val="en-US" w:eastAsia="zh-CN"/>
        </w:rPr>
        <w:t>Data collection configuration</w:t>
      </w:r>
    </w:p>
    <w:p w14:paraId="57A33EC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 xml:space="preserve">In AI PHY, RAN2 agreed that the measurement configuration of AI/ML data collection can configure measurements for multiple sets of resources and use cases (e.g. BM, Mobility, etc). </w:t>
      </w:r>
      <w:r>
        <w:rPr>
          <w:rFonts w:hint="default" w:ascii="Arial" w:hAnsi="Arial" w:cs="Arial"/>
          <w:sz w:val="21"/>
          <w:szCs w:val="21"/>
          <w:highlight w:val="none"/>
          <w:lang w:val="en-US" w:eastAsia="zh-CN"/>
        </w:rPr>
        <w:t xml:space="preserve">The network can explicitly configure the UE whether the corresponding data collection and logging (if supported) should be immediately started. </w:t>
      </w:r>
      <w:r>
        <w:rPr>
          <w:rFonts w:hint="eastAsia" w:ascii="Arial" w:hAnsi="Arial" w:cs="Arial"/>
          <w:sz w:val="21"/>
          <w:szCs w:val="21"/>
          <w:highlight w:val="none"/>
          <w:lang w:val="en-US" w:eastAsia="zh-CN"/>
        </w:rPr>
        <w:t>For AI Mob, the data collection configuration can include the configurations for RRM measurement and/or measurement event. Furthermore, the measurement resources and logging information, e.g. periodicity, triggered event, and RS type, will be included in the data collection configuration.</w:t>
      </w:r>
    </w:p>
    <w:p w14:paraId="0237787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4: For AI Mob, the data collection configuration can include the configurations for RRM measurement and/or measurement event.</w:t>
      </w:r>
    </w:p>
    <w:p w14:paraId="42A258C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5: The data collection configuration can include the measurement resources and logging information, e.g. periodicity, triggered event and RS type.</w:t>
      </w:r>
    </w:p>
    <w:p w14:paraId="5E64447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highlight w:val="none"/>
          <w:lang w:val="en-US" w:eastAsia="zh-CN"/>
        </w:rPr>
      </w:pPr>
    </w:p>
    <w:p w14:paraId="5731251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i/>
          <w:iCs/>
          <w:sz w:val="21"/>
          <w:szCs w:val="21"/>
          <w:highlight w:val="none"/>
          <w:u w:val="single"/>
          <w:lang w:val="en-US" w:eastAsia="zh-CN"/>
        </w:rPr>
      </w:pPr>
      <w:r>
        <w:rPr>
          <w:rFonts w:hint="eastAsia" w:ascii="Arial" w:hAnsi="Arial" w:cs="Arial"/>
          <w:b/>
          <w:bCs/>
          <w:i/>
          <w:iCs/>
          <w:sz w:val="21"/>
          <w:szCs w:val="21"/>
          <w:highlight w:val="none"/>
          <w:u w:val="single"/>
          <w:lang w:val="en-US" w:eastAsia="zh-CN"/>
        </w:rPr>
        <w:t>Availability indication</w:t>
      </w:r>
    </w:p>
    <w:p w14:paraId="10241A0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highlight w:val="none"/>
          <w:lang w:val="en-US" w:eastAsia="zh-CN"/>
        </w:rPr>
      </w:pPr>
      <w:r>
        <w:rPr>
          <w:rFonts w:hint="eastAsia" w:ascii="Arial" w:hAnsi="Arial" w:cs="Arial"/>
          <w:sz w:val="21"/>
          <w:szCs w:val="21"/>
          <w:highlight w:val="none"/>
          <w:lang w:val="en-US" w:eastAsia="zh-CN"/>
        </w:rPr>
        <w:t>During the discussion on AI PHY, RAN2 agreed that when</w:t>
      </w:r>
      <w:r>
        <w:rPr>
          <w:rFonts w:hint="default" w:ascii="Arial" w:hAnsi="Arial" w:cs="Arial"/>
          <w:sz w:val="21"/>
          <w:szCs w:val="21"/>
          <w:highlight w:val="none"/>
          <w:lang w:val="en-US" w:eastAsia="zh-CN"/>
        </w:rPr>
        <w:t xml:space="preserve"> the </w:t>
      </w:r>
      <w:r>
        <w:rPr>
          <w:rFonts w:hint="eastAsia" w:ascii="Arial" w:hAnsi="Arial" w:cs="Arial"/>
          <w:sz w:val="21"/>
          <w:szCs w:val="21"/>
          <w:highlight w:val="none"/>
          <w:lang w:val="en-US" w:eastAsia="zh-CN"/>
        </w:rPr>
        <w:t>data collection</w:t>
      </w:r>
      <w:r>
        <w:rPr>
          <w:rFonts w:hint="default" w:ascii="Arial" w:hAnsi="Arial" w:cs="Arial"/>
          <w:sz w:val="21"/>
          <w:szCs w:val="21"/>
          <w:highlight w:val="none"/>
          <w:lang w:val="en-US" w:eastAsia="zh-CN"/>
        </w:rPr>
        <w:t xml:space="preserve"> configuration</w:t>
      </w:r>
      <w:r>
        <w:rPr>
          <w:rFonts w:hint="eastAsia" w:ascii="Arial" w:hAnsi="Arial" w:cs="Arial"/>
          <w:sz w:val="21"/>
          <w:szCs w:val="21"/>
          <w:highlight w:val="none"/>
          <w:lang w:val="en-US" w:eastAsia="zh-CN"/>
        </w:rPr>
        <w:t xml:space="preserve"> is provided, the UE performs measurements and logging (if supported). And if there is available data, the UE sends availability indication to the network which is similar to MDT. In addition, RAN2 discussed the triggered event for availability indication, and agreed to use full buffer being reached, buffer threshold being reached, or low power as triggered event. When triggered event is satisfied, the UE sends the UAI including data availability indication and/or cause value to the network. For AI Mob, the same way is also applicable.</w:t>
      </w:r>
    </w:p>
    <w:tbl>
      <w:tblPr>
        <w:tblStyle w:val="15"/>
        <w:tblW w:w="0" w:type="auto"/>
        <w:tblInd w:w="12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0EF5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72" w:type="dxa"/>
          </w:tcPr>
          <w:p w14:paraId="7112855F">
            <w:pPr>
              <w:tabs>
                <w:tab w:val="left" w:pos="1622"/>
              </w:tabs>
              <w:spacing w:before="0"/>
              <w:ind w:left="363" w:hanging="363"/>
              <w:rPr>
                <w:rFonts w:hint="default" w:ascii="Arial" w:hAnsi="Arial" w:eastAsia="Batang" w:cs="Arial"/>
                <w:b/>
                <w:bCs/>
                <w:kern w:val="0"/>
                <w:sz w:val="20"/>
                <w:szCs w:val="20"/>
                <w:lang w:val="en-US" w:eastAsia="en-US" w:bidi="ar-SA"/>
              </w:rPr>
            </w:pPr>
            <w:r>
              <w:rPr>
                <w:rFonts w:hint="default" w:ascii="Arial" w:hAnsi="Arial" w:eastAsia="宋体" w:cs="Arial"/>
                <w:b/>
                <w:bCs/>
                <w:kern w:val="0"/>
                <w:sz w:val="20"/>
                <w:szCs w:val="20"/>
                <w:lang w:val="en-US" w:eastAsia="zh-CN" w:bidi="ar-SA"/>
              </w:rPr>
              <w:t xml:space="preserve">RAN2#129bis </w:t>
            </w:r>
            <w:r>
              <w:rPr>
                <w:rFonts w:hint="default" w:ascii="Arial" w:hAnsi="Arial" w:eastAsia="Batang" w:cs="Arial"/>
                <w:b/>
                <w:bCs/>
                <w:kern w:val="0"/>
                <w:sz w:val="20"/>
                <w:szCs w:val="20"/>
                <w:lang w:val="en-US" w:eastAsia="en-US" w:bidi="ar-SA"/>
              </w:rPr>
              <w:t xml:space="preserve">Agreements </w:t>
            </w:r>
          </w:p>
          <w:p w14:paraId="0275152D">
            <w:pPr>
              <w:pStyle w:val="25"/>
              <w:widowControl/>
              <w:numPr>
                <w:ilvl w:val="0"/>
                <w:numId w:val="8"/>
              </w:numPr>
              <w:spacing w:before="0"/>
              <w:ind w:left="1134" w:leftChars="0" w:firstLine="125" w:firstLineChars="0"/>
              <w:jc w:val="left"/>
              <w:rPr>
                <w:rFonts w:hint="default" w:ascii="Arial" w:hAnsi="Arial" w:eastAsia="Batang" w:cs="Arial"/>
                <w:kern w:val="0"/>
                <w:sz w:val="20"/>
                <w:szCs w:val="20"/>
                <w:lang w:val="en-US" w:eastAsia="en-US"/>
              </w:rPr>
            </w:pPr>
            <w:r>
              <w:rPr>
                <w:rFonts w:hint="default" w:ascii="Arial" w:hAnsi="Arial" w:eastAsia="Batang" w:cs="Arial"/>
                <w:kern w:val="0"/>
                <w:sz w:val="20"/>
                <w:szCs w:val="20"/>
                <w:lang w:val="en-US" w:eastAsia="en-US"/>
              </w:rPr>
              <w:t>Availability indication can be triggered due to:</w:t>
            </w:r>
          </w:p>
          <w:p w14:paraId="7F56C364">
            <w:pPr>
              <w:numPr>
                <w:ilvl w:val="1"/>
                <w:numId w:val="8"/>
              </w:numPr>
              <w:tabs>
                <w:tab w:val="left" w:pos="1622"/>
                <w:tab w:val="left" w:pos="2702"/>
              </w:tabs>
              <w:spacing w:before="0"/>
              <w:ind w:left="2339" w:leftChars="0" w:hanging="360" w:firstLineChars="0"/>
              <w:rPr>
                <w:rFonts w:hint="default" w:ascii="Arial" w:hAnsi="Arial" w:eastAsia="Batang" w:cs="Arial"/>
                <w:kern w:val="0"/>
                <w:sz w:val="20"/>
                <w:szCs w:val="20"/>
                <w:lang w:val="en-US" w:eastAsia="en-US" w:bidi="ar-SA"/>
              </w:rPr>
            </w:pPr>
            <w:r>
              <w:rPr>
                <w:rFonts w:hint="default" w:ascii="Arial" w:hAnsi="Arial" w:eastAsia="Batang" w:cs="Arial"/>
                <w:kern w:val="0"/>
                <w:sz w:val="20"/>
                <w:szCs w:val="20"/>
                <w:lang w:val="en-US" w:eastAsia="en-US" w:bidi="ar-SA"/>
              </w:rPr>
              <w:t>Full buffer being reached (if configured)</w:t>
            </w:r>
          </w:p>
          <w:p w14:paraId="7BBF5A08">
            <w:pPr>
              <w:numPr>
                <w:ilvl w:val="1"/>
                <w:numId w:val="8"/>
              </w:numPr>
              <w:tabs>
                <w:tab w:val="left" w:pos="1622"/>
                <w:tab w:val="left" w:pos="2702"/>
              </w:tabs>
              <w:spacing w:before="0"/>
              <w:ind w:left="2339" w:leftChars="0" w:hanging="360" w:firstLineChars="0"/>
              <w:rPr>
                <w:rFonts w:hint="default" w:ascii="Arial" w:hAnsi="Arial" w:eastAsia="Batang" w:cs="Arial"/>
                <w:kern w:val="0"/>
                <w:sz w:val="20"/>
                <w:szCs w:val="20"/>
                <w:lang w:val="en-US" w:eastAsia="en-US" w:bidi="ar-SA"/>
              </w:rPr>
            </w:pPr>
            <w:r>
              <w:rPr>
                <w:rFonts w:hint="default" w:ascii="Arial" w:hAnsi="Arial" w:eastAsia="Batang" w:cs="Arial"/>
                <w:kern w:val="0"/>
                <w:sz w:val="20"/>
                <w:szCs w:val="20"/>
                <w:lang w:val="en-US" w:eastAsia="en-US" w:bidi="ar-SA"/>
              </w:rPr>
              <w:t xml:space="preserve">Buffer threshold being reached (if configured). </w:t>
            </w:r>
          </w:p>
          <w:p w14:paraId="3958BA97">
            <w:pPr>
              <w:numPr>
                <w:ilvl w:val="1"/>
                <w:numId w:val="8"/>
              </w:numPr>
              <w:tabs>
                <w:tab w:val="left" w:pos="1622"/>
                <w:tab w:val="left" w:pos="2702"/>
              </w:tabs>
              <w:spacing w:before="0"/>
              <w:ind w:left="2339" w:leftChars="0" w:hanging="360" w:firstLineChars="0"/>
              <w:rPr>
                <w:rFonts w:hint="default" w:ascii="Arial" w:hAnsi="Arial" w:eastAsia="Batang" w:cs="Arial"/>
                <w:kern w:val="0"/>
                <w:sz w:val="20"/>
                <w:szCs w:val="20"/>
                <w:lang w:val="en-US" w:eastAsia="en-US" w:bidi="ar-SA"/>
              </w:rPr>
            </w:pPr>
            <w:r>
              <w:rPr>
                <w:rFonts w:hint="default" w:ascii="Arial" w:hAnsi="Arial" w:eastAsia="Batang" w:cs="Arial"/>
                <w:kern w:val="0"/>
                <w:sz w:val="20"/>
                <w:szCs w:val="20"/>
                <w:lang w:val="en-US" w:eastAsia="en-US" w:bidi="ar-SA"/>
              </w:rPr>
              <w:t>Low power (if configured)</w:t>
            </w:r>
          </w:p>
          <w:p w14:paraId="5647613E">
            <w:pPr>
              <w:numPr>
                <w:ilvl w:val="0"/>
                <w:numId w:val="8"/>
              </w:numPr>
              <w:tabs>
                <w:tab w:val="left" w:pos="1622"/>
              </w:tabs>
              <w:spacing w:before="0"/>
              <w:ind w:left="1134" w:leftChars="0" w:firstLine="125" w:firstLineChars="0"/>
              <w:rPr>
                <w:rFonts w:hint="default" w:ascii="Arial" w:hAnsi="Arial" w:eastAsia="Batang" w:cs="Arial"/>
                <w:kern w:val="0"/>
                <w:sz w:val="20"/>
                <w:szCs w:val="20"/>
                <w:lang w:val="en-US" w:eastAsia="en-US" w:bidi="ar-SA"/>
              </w:rPr>
            </w:pPr>
            <w:r>
              <w:rPr>
                <w:rFonts w:hint="default" w:ascii="Arial" w:hAnsi="Arial" w:eastAsia="Batang" w:cs="Arial"/>
                <w:kern w:val="0"/>
                <w:sz w:val="20"/>
                <w:szCs w:val="20"/>
                <w:lang w:val="en-US" w:eastAsia="en-US" w:bidi="ar-SA"/>
              </w:rPr>
              <w:t>The UE send a UAI that indicates:</w:t>
            </w:r>
          </w:p>
          <w:p w14:paraId="18E7CD9F">
            <w:pPr>
              <w:numPr>
                <w:ilvl w:val="1"/>
                <w:numId w:val="8"/>
              </w:numPr>
              <w:tabs>
                <w:tab w:val="left" w:pos="1622"/>
                <w:tab w:val="left" w:pos="2702"/>
              </w:tabs>
              <w:spacing w:before="0"/>
              <w:ind w:left="2339" w:leftChars="0" w:hanging="360" w:firstLineChars="0"/>
              <w:rPr>
                <w:rFonts w:hint="default" w:ascii="Arial" w:hAnsi="Arial" w:eastAsia="Batang" w:cs="Arial"/>
                <w:kern w:val="0"/>
                <w:sz w:val="20"/>
                <w:szCs w:val="20"/>
                <w:lang w:val="en-US" w:eastAsia="en-US" w:bidi="ar-SA"/>
              </w:rPr>
            </w:pPr>
            <w:r>
              <w:rPr>
                <w:rFonts w:hint="default" w:ascii="Arial" w:hAnsi="Arial" w:eastAsia="Batang" w:cs="Arial"/>
                <w:kern w:val="0"/>
                <w:sz w:val="20"/>
                <w:szCs w:val="20"/>
                <w:lang w:val="en-US" w:eastAsia="en-US" w:bidi="ar-SA"/>
              </w:rPr>
              <w:t>Data is available</w:t>
            </w:r>
          </w:p>
          <w:p w14:paraId="5430EA96">
            <w:pPr>
              <w:numPr>
                <w:ilvl w:val="1"/>
                <w:numId w:val="8"/>
              </w:numPr>
              <w:tabs>
                <w:tab w:val="left" w:pos="1622"/>
                <w:tab w:val="left" w:pos="2702"/>
              </w:tabs>
              <w:spacing w:before="0"/>
              <w:ind w:left="2339" w:leftChars="0" w:hanging="360" w:firstLineChars="0"/>
              <w:rPr>
                <w:rFonts w:hint="default" w:ascii="Arial" w:hAnsi="Arial" w:eastAsia="Batang" w:cs="Arial"/>
                <w:kern w:val="0"/>
                <w:sz w:val="20"/>
                <w:szCs w:val="20"/>
                <w:lang w:val="en-US" w:eastAsia="en-US" w:bidi="ar-SA"/>
              </w:rPr>
            </w:pPr>
            <w:r>
              <w:rPr>
                <w:rFonts w:hint="default" w:ascii="Arial" w:hAnsi="Arial" w:eastAsia="Batang" w:cs="Arial"/>
                <w:kern w:val="0"/>
                <w:sz w:val="20"/>
                <w:szCs w:val="20"/>
                <w:lang w:val="en-US" w:eastAsia="en-US" w:bidi="ar-SA"/>
              </w:rPr>
              <w:t>Reason for trigger (full buffer, threshold)</w:t>
            </w:r>
          </w:p>
          <w:p w14:paraId="79825916">
            <w:pPr>
              <w:numPr>
                <w:ilvl w:val="1"/>
                <w:numId w:val="8"/>
              </w:numPr>
              <w:tabs>
                <w:tab w:val="left" w:pos="1622"/>
                <w:tab w:val="left" w:pos="2702"/>
              </w:tabs>
              <w:spacing w:before="0"/>
              <w:ind w:left="2339" w:leftChars="0" w:hanging="360" w:firstLineChars="0"/>
              <w:rPr>
                <w:rFonts w:hint="default" w:ascii="Arial" w:hAnsi="Arial" w:eastAsia="Batang" w:cs="Arial"/>
                <w:kern w:val="0"/>
                <w:sz w:val="20"/>
                <w:szCs w:val="20"/>
                <w:lang w:val="en-US" w:eastAsia="en-US" w:bidi="ar-SA"/>
              </w:rPr>
            </w:pPr>
            <w:r>
              <w:rPr>
                <w:rFonts w:hint="default" w:ascii="Arial" w:hAnsi="Arial" w:eastAsia="Batang" w:cs="Arial"/>
                <w:kern w:val="0"/>
                <w:sz w:val="20"/>
                <w:szCs w:val="20"/>
                <w:lang w:val="en-US" w:eastAsia="en-US" w:bidi="ar-SA"/>
              </w:rPr>
              <w:t xml:space="preserve">Low power indication </w:t>
            </w:r>
          </w:p>
          <w:p w14:paraId="3F7D4682">
            <w:pPr>
              <w:numPr>
                <w:ilvl w:val="0"/>
                <w:numId w:val="8"/>
              </w:numPr>
              <w:tabs>
                <w:tab w:val="left" w:pos="1622"/>
              </w:tabs>
              <w:spacing w:before="0"/>
              <w:ind w:left="1134" w:leftChars="0" w:firstLine="125" w:firstLineChars="0"/>
              <w:rPr>
                <w:rFonts w:hint="default" w:ascii="Arial" w:hAnsi="Arial" w:eastAsia="Batang" w:cs="Arial"/>
                <w:kern w:val="0"/>
                <w:sz w:val="20"/>
                <w:szCs w:val="20"/>
                <w:lang w:val="en-US" w:eastAsia="en-US" w:bidi="ar-SA"/>
              </w:rPr>
            </w:pPr>
            <w:r>
              <w:rPr>
                <w:rFonts w:hint="default" w:ascii="Arial" w:hAnsi="Arial" w:eastAsia="Batang" w:cs="Arial"/>
                <w:kern w:val="0"/>
                <w:sz w:val="20"/>
                <w:szCs w:val="20"/>
                <w:lang w:val="en-US" w:eastAsia="en-US" w:bidi="ar-SA"/>
              </w:rPr>
              <w:t>The encoding of the data is available/UAI and the cause value is FFS</w:t>
            </w:r>
          </w:p>
          <w:p w14:paraId="182AB1E7">
            <w:pPr>
              <w:tabs>
                <w:tab w:val="left" w:pos="1622"/>
              </w:tabs>
              <w:spacing w:before="0"/>
              <w:ind w:left="0" w:firstLine="0"/>
              <w:rPr>
                <w:rFonts w:ascii="Times" w:hAnsi="Times" w:eastAsia="Batang" w:cs="Times New Roman"/>
                <w:kern w:val="0"/>
                <w:sz w:val="21"/>
                <w:szCs w:val="21"/>
                <w:lang w:val="en-US" w:eastAsia="en-US" w:bidi="ar-SA"/>
              </w:rPr>
            </w:pPr>
            <w:r>
              <w:rPr>
                <w:rFonts w:hint="default" w:ascii="Arial" w:hAnsi="Arial" w:eastAsia="Batang" w:cs="Arial"/>
                <w:kern w:val="0"/>
                <w:sz w:val="20"/>
                <w:szCs w:val="20"/>
                <w:lang w:val="en-US" w:eastAsia="en-US" w:bidi="ar-SA"/>
              </w:rPr>
              <w:t>NOTE: it is up to UE Implementation how buffer threshold reached and low power is determined</w:t>
            </w:r>
          </w:p>
        </w:tc>
      </w:tr>
    </w:tbl>
    <w:p w14:paraId="3D468CB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6: When availability indication is triggered due to full buffer being reached, buffer threshold being reached or low power, the UE sends the UAI including data availability indication and/or cause value (reason for trigger, low power indication) to the network. </w:t>
      </w:r>
    </w:p>
    <w:p w14:paraId="6503F2C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 xml:space="preserve">On the other hand, RAN2 agreed that when the buffer is full, the UE can stop data collection, however, the UE will not autonomously stop when low power state is detected until the network releases the configuration. For AI Mob, the similar mechanism can be reused. </w:t>
      </w:r>
    </w:p>
    <w:p w14:paraId="22A9A39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7: When the buffer is full, the UE can stop data collection.</w:t>
      </w:r>
    </w:p>
    <w:p w14:paraId="79498B3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sz w:val="21"/>
          <w:szCs w:val="21"/>
          <w:highlight w:val="none"/>
          <w:lang w:val="en-US" w:eastAsia="zh-CN"/>
        </w:rPr>
      </w:pPr>
      <w:r>
        <w:rPr>
          <w:rFonts w:hint="eastAsia" w:ascii="Arial" w:hAnsi="Arial" w:cs="Arial"/>
          <w:b/>
          <w:bCs/>
          <w:sz w:val="21"/>
          <w:szCs w:val="21"/>
          <w:highlight w:val="none"/>
          <w:lang w:val="en-US" w:eastAsia="zh-CN"/>
        </w:rPr>
        <w:t>Proposal 8: the UE will not autonomously stop when low power state is detected until the network releases the configuration</w:t>
      </w:r>
      <w:r>
        <w:rPr>
          <w:rFonts w:hint="eastAsia" w:ascii="Arial" w:hAnsi="Arial" w:cs="Arial"/>
          <w:sz w:val="21"/>
          <w:szCs w:val="21"/>
          <w:highlight w:val="none"/>
          <w:lang w:val="en-US" w:eastAsia="zh-CN"/>
        </w:rPr>
        <w:t>.</w:t>
      </w:r>
    </w:p>
    <w:p w14:paraId="2FFDC77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highlight w:val="none"/>
          <w:lang w:val="en-US" w:eastAsia="zh-CN"/>
        </w:rPr>
      </w:pPr>
    </w:p>
    <w:p w14:paraId="4BE14B1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i/>
          <w:iCs/>
          <w:sz w:val="21"/>
          <w:szCs w:val="21"/>
          <w:highlight w:val="none"/>
          <w:u w:val="single"/>
          <w:lang w:val="en-US" w:eastAsia="zh-CN"/>
        </w:rPr>
      </w:pPr>
      <w:r>
        <w:rPr>
          <w:rFonts w:hint="eastAsia" w:ascii="Arial" w:hAnsi="Arial" w:cs="Arial"/>
          <w:b/>
          <w:bCs/>
          <w:i/>
          <w:iCs/>
          <w:sz w:val="21"/>
          <w:szCs w:val="21"/>
          <w:highlight w:val="none"/>
          <w:u w:val="single"/>
          <w:lang w:val="en-US" w:eastAsia="zh-CN"/>
        </w:rPr>
        <w:t>Data retrieval</w:t>
      </w:r>
    </w:p>
    <w:p w14:paraId="2C14EDC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highlight w:val="none"/>
          <w:lang w:val="en-US" w:eastAsia="zh-CN"/>
        </w:rPr>
      </w:pPr>
      <w:r>
        <w:rPr>
          <w:rFonts w:hint="eastAsia" w:ascii="Arial" w:hAnsi="Arial" w:cs="Arial"/>
          <w:sz w:val="21"/>
          <w:szCs w:val="21"/>
          <w:highlight w:val="none"/>
          <w:lang w:val="en-US" w:eastAsia="zh-CN"/>
        </w:rPr>
        <w:t xml:space="preserve">For AI PHY, RAN2 supports on-demand reporting while periodic reporting is not supported considering the signaling overhead. For data reporting, the same procedure and principles as for logged MDT are reused, i.e., the </w:t>
      </w:r>
      <w:r>
        <w:rPr>
          <w:rFonts w:hint="eastAsia" w:ascii="Arial" w:hAnsi="Arial" w:cs="Arial"/>
          <w:i/>
          <w:iCs/>
          <w:sz w:val="21"/>
          <w:szCs w:val="21"/>
          <w:highlight w:val="none"/>
          <w:lang w:val="en-US" w:eastAsia="zh-CN"/>
        </w:rPr>
        <w:t xml:space="preserve">UEInformationRequest </w:t>
      </w:r>
      <w:r>
        <w:rPr>
          <w:rFonts w:hint="eastAsia" w:ascii="Arial" w:hAnsi="Arial" w:cs="Arial"/>
          <w:sz w:val="21"/>
          <w:szCs w:val="21"/>
          <w:highlight w:val="none"/>
          <w:lang w:val="en-US" w:eastAsia="zh-CN"/>
        </w:rPr>
        <w:t xml:space="preserve">and </w:t>
      </w:r>
      <w:r>
        <w:rPr>
          <w:rFonts w:hint="eastAsia" w:ascii="Arial" w:hAnsi="Arial" w:cs="Arial"/>
          <w:i/>
          <w:iCs/>
          <w:sz w:val="21"/>
          <w:szCs w:val="21"/>
          <w:highlight w:val="none"/>
          <w:lang w:val="en-US" w:eastAsia="zh-CN"/>
        </w:rPr>
        <w:t xml:space="preserve">UEInformationResponse </w:t>
      </w:r>
      <w:r>
        <w:rPr>
          <w:rFonts w:hint="eastAsia" w:ascii="Arial" w:hAnsi="Arial" w:cs="Arial"/>
          <w:sz w:val="21"/>
          <w:szCs w:val="21"/>
          <w:highlight w:val="none"/>
          <w:lang w:val="en-US" w:eastAsia="zh-CN"/>
        </w:rPr>
        <w:t xml:space="preserve">messages are used for on-demand reporting. Furthermore, </w:t>
      </w:r>
      <w:r>
        <w:rPr>
          <w:rFonts w:hint="eastAsia" w:ascii="Arial" w:hAnsi="Arial" w:cs="Arial"/>
          <w:i/>
          <w:iCs/>
          <w:sz w:val="21"/>
          <w:szCs w:val="21"/>
          <w:highlight w:val="none"/>
          <w:lang w:val="en-US" w:eastAsia="zh-CN"/>
        </w:rPr>
        <w:t xml:space="preserve">UEInformationResponse </w:t>
      </w:r>
      <w:r>
        <w:rPr>
          <w:rFonts w:hint="eastAsia" w:ascii="Arial" w:hAnsi="Arial" w:cs="Arial"/>
          <w:sz w:val="21"/>
          <w:szCs w:val="21"/>
          <w:highlight w:val="none"/>
          <w:lang w:val="en-US" w:eastAsia="zh-CN"/>
        </w:rPr>
        <w:t>contains one or more logged measurement entries in chronological order (i.e. starting from the oldest measurement entries stored in the UE memory), and an availability indication if there are further data available for transmission. In addition, RAN2 introduced a new SRB with lower priority for NW-side data collection. we think the above progress in AI/ML PHY can be also applied in AI Mob.</w:t>
      </w:r>
    </w:p>
    <w:p w14:paraId="0B057C5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9: </w:t>
      </w:r>
      <w:r>
        <w:rPr>
          <w:rFonts w:hint="eastAsia" w:ascii="Arial" w:hAnsi="Arial" w:cs="Arial"/>
          <w:b/>
          <w:bCs/>
          <w:i/>
          <w:iCs/>
          <w:sz w:val="21"/>
          <w:szCs w:val="21"/>
          <w:highlight w:val="none"/>
          <w:lang w:val="en-US" w:eastAsia="zh-CN"/>
        </w:rPr>
        <w:t xml:space="preserve">UEInformationRequest </w:t>
      </w:r>
      <w:r>
        <w:rPr>
          <w:rFonts w:hint="eastAsia" w:ascii="Arial" w:hAnsi="Arial" w:cs="Arial"/>
          <w:b/>
          <w:bCs/>
          <w:sz w:val="21"/>
          <w:szCs w:val="21"/>
          <w:highlight w:val="none"/>
          <w:lang w:val="en-US" w:eastAsia="zh-CN"/>
        </w:rPr>
        <w:t xml:space="preserve">and </w:t>
      </w:r>
      <w:r>
        <w:rPr>
          <w:rFonts w:hint="eastAsia" w:ascii="Arial" w:hAnsi="Arial" w:cs="Arial"/>
          <w:b/>
          <w:bCs/>
          <w:i/>
          <w:iCs/>
          <w:sz w:val="21"/>
          <w:szCs w:val="21"/>
          <w:highlight w:val="none"/>
          <w:lang w:val="en-US" w:eastAsia="zh-CN"/>
        </w:rPr>
        <w:t xml:space="preserve">UEInformationResponse messages </w:t>
      </w:r>
      <w:r>
        <w:rPr>
          <w:rFonts w:hint="eastAsia" w:ascii="Arial" w:hAnsi="Arial" w:cs="Arial"/>
          <w:b/>
          <w:bCs/>
          <w:sz w:val="21"/>
          <w:szCs w:val="21"/>
          <w:highlight w:val="none"/>
          <w:lang w:val="en-US" w:eastAsia="zh-CN"/>
        </w:rPr>
        <w:t xml:space="preserve">are used for on-demand reporting of AI/ML training data collection. </w:t>
      </w:r>
    </w:p>
    <w:p w14:paraId="382C577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10: </w:t>
      </w:r>
      <w:r>
        <w:rPr>
          <w:rFonts w:hint="eastAsia" w:ascii="Arial" w:hAnsi="Arial" w:cs="Arial"/>
          <w:b/>
          <w:bCs/>
          <w:i/>
          <w:iCs/>
          <w:sz w:val="21"/>
          <w:szCs w:val="21"/>
          <w:highlight w:val="none"/>
          <w:lang w:val="en-US" w:eastAsia="zh-CN"/>
        </w:rPr>
        <w:t xml:space="preserve">UEInformationResponse </w:t>
      </w:r>
      <w:r>
        <w:rPr>
          <w:rFonts w:hint="eastAsia" w:ascii="Arial" w:hAnsi="Arial" w:cs="Arial"/>
          <w:b/>
          <w:bCs/>
          <w:sz w:val="21"/>
          <w:szCs w:val="21"/>
          <w:highlight w:val="none"/>
          <w:lang w:val="en-US" w:eastAsia="zh-CN"/>
        </w:rPr>
        <w:t>contains one or more logged measurement entries in chronological order (i.e. starting from the oldest measurement entries stored in the UE memory), and an availability indication if there are further data available for transmission.</w:t>
      </w:r>
    </w:p>
    <w:p w14:paraId="4EA854F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11: A new SRB with lower priority introduced in AI/ML PHY is also used for NW-side data collection in AI Mob.</w:t>
      </w:r>
    </w:p>
    <w:p w14:paraId="0D01EFC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sz w:val="21"/>
          <w:szCs w:val="21"/>
          <w:lang w:val="en-US" w:eastAsia="zh-CN"/>
        </w:rPr>
      </w:pPr>
    </w:p>
    <w:p w14:paraId="73EBEC4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i/>
          <w:iCs/>
          <w:sz w:val="21"/>
          <w:szCs w:val="21"/>
          <w:u w:val="single"/>
          <w:lang w:val="en-US" w:eastAsia="zh-CN"/>
        </w:rPr>
      </w:pPr>
      <w:r>
        <w:rPr>
          <w:rFonts w:hint="eastAsia" w:ascii="Arial" w:hAnsi="Arial" w:eastAsia="等线" w:cs="Arial"/>
          <w:b/>
          <w:bCs/>
          <w:i/>
          <w:iCs/>
          <w:sz w:val="21"/>
          <w:szCs w:val="21"/>
          <w:u w:val="single"/>
          <w:lang w:val="en-US" w:eastAsia="zh-CN"/>
        </w:rPr>
        <w:t>Basic flow</w:t>
      </w:r>
    </w:p>
    <w:p w14:paraId="6D11292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sz w:val="21"/>
          <w:szCs w:val="21"/>
          <w:lang w:val="en-US" w:eastAsia="zh-CN"/>
        </w:rPr>
      </w:pPr>
      <w:r>
        <w:rPr>
          <w:rFonts w:hint="eastAsia" w:ascii="Arial" w:hAnsi="Arial" w:eastAsia="等线" w:cs="Arial"/>
          <w:sz w:val="21"/>
          <w:szCs w:val="21"/>
          <w:lang w:val="en-US" w:eastAsia="zh-CN"/>
        </w:rPr>
        <w:t>As per the above analysis and proposals, the basic flow for NW-side data collection procedure can be illustrated as Figure 1:</w:t>
      </w:r>
    </w:p>
    <w:p w14:paraId="183BF9E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object>
          <v:shape id="_x0000_i1025" o:spt="75" type="#_x0000_t75" style="height:226.35pt;width:325.45pt;" o:ole="t" filled="f" o:preferrelative="t" stroked="f" coordsize="21600,21600">
            <v:path/>
            <v:fill on="f" focussize="0,0"/>
            <v:stroke on="f"/>
            <v:imagedata r:id="rId5" croptop="1945f" cropbottom="8209f" o:title=""/>
            <o:lock v:ext="edit" aspectratio="t"/>
            <w10:wrap type="none"/>
            <w10:anchorlock/>
          </v:shape>
          <o:OLEObject Type="Embed" ProgID="Visio.Drawing.15" ShapeID="_x0000_i1025" DrawAspect="Content" ObjectID="_1468075725" r:id="rId4">
            <o:LockedField>false</o:LockedField>
          </o:OLEObject>
        </w:object>
      </w:r>
    </w:p>
    <w:p w14:paraId="109438E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cs="Arial" w:eastAsiaTheme="minorEastAsia"/>
          <w:b/>
          <w:bCs/>
          <w:sz w:val="21"/>
          <w:szCs w:val="22"/>
          <w:lang w:val="en-US" w:eastAsia="zh-CN"/>
        </w:rPr>
      </w:pPr>
      <w:r>
        <w:rPr>
          <w:rFonts w:hint="default" w:ascii="Arial" w:hAnsi="Arial" w:cs="Arial"/>
          <w:b/>
          <w:bCs/>
          <w:sz w:val="21"/>
          <w:szCs w:val="22"/>
          <w:lang w:val="en-US" w:eastAsia="zh-CN"/>
        </w:rPr>
        <w:t xml:space="preserve">Figure 1. </w:t>
      </w:r>
      <w:r>
        <w:rPr>
          <w:rFonts w:hint="eastAsia" w:ascii="Arial" w:hAnsi="Arial" w:cs="Arial"/>
          <w:b/>
          <w:bCs/>
          <w:sz w:val="21"/>
          <w:szCs w:val="22"/>
          <w:lang w:val="en-US" w:eastAsia="zh-CN"/>
        </w:rPr>
        <w:t>B</w:t>
      </w:r>
      <w:r>
        <w:rPr>
          <w:rFonts w:hint="default" w:ascii="Arial" w:hAnsi="Arial" w:cs="Arial"/>
          <w:b/>
          <w:bCs/>
          <w:sz w:val="21"/>
          <w:szCs w:val="22"/>
          <w:lang w:val="en-US" w:eastAsia="zh-CN"/>
        </w:rPr>
        <w:t xml:space="preserve">asic flow </w:t>
      </w:r>
      <w:r>
        <w:rPr>
          <w:rFonts w:hint="eastAsia" w:ascii="Arial" w:hAnsi="Arial" w:cs="Arial"/>
          <w:b/>
          <w:bCs/>
          <w:sz w:val="21"/>
          <w:szCs w:val="22"/>
          <w:lang w:val="en-US" w:eastAsia="zh-CN"/>
        </w:rPr>
        <w:t>for NW-side data collection procedure</w:t>
      </w:r>
    </w:p>
    <w:p w14:paraId="7A1F321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12: RAN2 takes the Figure 1 as baseline for NW-side data collection procedure.</w:t>
      </w:r>
    </w:p>
    <w:p w14:paraId="7AA54A9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41A643B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UE-side data collection procedure</w:t>
      </w:r>
    </w:p>
    <w:p w14:paraId="55E8C09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During the discussion on UE-side data collection in AI/ML PHY, RAN2 has the following agreements:</w:t>
      </w:r>
    </w:p>
    <w:tbl>
      <w:tblPr>
        <w:tblStyle w:val="15"/>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1CA3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14:paraId="4A2D1B37">
            <w:pPr>
              <w:pStyle w:val="32"/>
              <w:numPr>
                <w:ilvl w:val="0"/>
                <w:numId w:val="0"/>
              </w:numPr>
              <w:tabs>
                <w:tab w:val="left" w:pos="1352"/>
                <w:tab w:val="clear" w:pos="1619"/>
              </w:tabs>
              <w:rPr>
                <w:rFonts w:hint="default" w:ascii="Arial" w:hAnsi="Arial" w:cs="Arial"/>
                <w:sz w:val="20"/>
                <w:szCs w:val="21"/>
              </w:rPr>
            </w:pPr>
            <w:r>
              <w:rPr>
                <w:rFonts w:hint="default" w:ascii="Arial" w:hAnsi="Arial" w:cs="Arial"/>
                <w:sz w:val="20"/>
                <w:szCs w:val="21"/>
                <w:lang w:val="en-US" w:eastAsia="zh-CN"/>
              </w:rPr>
              <w:t xml:space="preserve">RAN2#129 </w:t>
            </w:r>
            <w:r>
              <w:rPr>
                <w:rFonts w:hint="default" w:ascii="Arial" w:hAnsi="Arial" w:cs="Arial"/>
                <w:sz w:val="20"/>
                <w:szCs w:val="21"/>
              </w:rPr>
              <w:t>Agreements</w:t>
            </w:r>
          </w:p>
          <w:p w14:paraId="71F0C8D7">
            <w:pPr>
              <w:pStyle w:val="32"/>
              <w:numPr>
                <w:ilvl w:val="0"/>
                <w:numId w:val="0"/>
              </w:numPr>
              <w:tabs>
                <w:tab w:val="left" w:pos="1352"/>
                <w:tab w:val="clear" w:pos="1619"/>
              </w:tabs>
              <w:ind w:left="360" w:hanging="360"/>
              <w:rPr>
                <w:rFonts w:hint="default" w:ascii="Arial" w:hAnsi="Arial" w:cs="Arial"/>
                <w:sz w:val="20"/>
                <w:szCs w:val="21"/>
              </w:rPr>
            </w:pPr>
            <w:r>
              <w:rPr>
                <w:rFonts w:hint="default" w:ascii="Arial" w:hAnsi="Arial" w:cs="Arial"/>
                <w:sz w:val="20"/>
                <w:szCs w:val="21"/>
              </w:rPr>
              <w:t xml:space="preserve">Extend the following agreements on data collection configuration in AI/ML based beam management to general UE-side data collection configuration: </w:t>
            </w:r>
          </w:p>
          <w:p w14:paraId="578526D9">
            <w:pPr>
              <w:pStyle w:val="32"/>
              <w:numPr>
                <w:ilvl w:val="0"/>
                <w:numId w:val="9"/>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Data collection related configuration(s) and associated ID(s)(if needed) can be included in training data collection configuration.</w:t>
            </w:r>
          </w:p>
          <w:p w14:paraId="23DB4E29">
            <w:pPr>
              <w:pStyle w:val="32"/>
              <w:numPr>
                <w:ilvl w:val="0"/>
                <w:numId w:val="9"/>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For data collection configuration UE-side model training, the UE can send a request for data collection (e.g. start/stop).  FFS whether a suggested data collection configuration/associated IDs (if specified)/parameters can be provided to the network.</w:t>
            </w:r>
          </w:p>
          <w:p w14:paraId="1C1EA3C6">
            <w:pPr>
              <w:pStyle w:val="32"/>
              <w:numPr>
                <w:ilvl w:val="0"/>
                <w:numId w:val="9"/>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 xml:space="preserve">The network can provide or release the data collection configuration (at any point in time), with or without UE request.   </w:t>
            </w:r>
          </w:p>
          <w:p w14:paraId="2A9A011B">
            <w:pPr>
              <w:pStyle w:val="32"/>
              <w:numPr>
                <w:ilvl w:val="0"/>
                <w:numId w:val="9"/>
              </w:numPr>
              <w:tabs>
                <w:tab w:val="left" w:pos="1352"/>
                <w:tab w:val="clear" w:pos="1619"/>
              </w:tabs>
              <w:ind w:left="720"/>
              <w:rPr>
                <w:rFonts w:hint="default" w:ascii="Arial" w:hAnsi="Arial" w:cs="Arial"/>
                <w:b w:val="0"/>
                <w:bCs/>
                <w:sz w:val="20"/>
                <w:szCs w:val="21"/>
              </w:rPr>
            </w:pPr>
            <w:r>
              <w:rPr>
                <w:rFonts w:hint="default" w:ascii="Arial" w:hAnsi="Arial" w:cs="Arial"/>
                <w:b w:val="0"/>
                <w:bCs/>
                <w:sz w:val="20"/>
                <w:szCs w:val="21"/>
              </w:rPr>
              <w:t>The following methods for network control of the initiation and configuration for data collection:</w:t>
            </w:r>
          </w:p>
          <w:p w14:paraId="605DA848">
            <w:pPr>
              <w:pStyle w:val="25"/>
              <w:numPr>
                <w:ilvl w:val="1"/>
                <w:numId w:val="9"/>
              </w:numPr>
              <w:ind w:left="1440"/>
              <w:rPr>
                <w:rFonts w:hint="default" w:ascii="Arial" w:hAnsi="Arial" w:cs="Arial"/>
                <w:bCs/>
                <w:sz w:val="20"/>
                <w:szCs w:val="22"/>
              </w:rPr>
            </w:pPr>
            <w:r>
              <w:rPr>
                <w:rFonts w:hint="default" w:ascii="Arial" w:hAnsi="Arial" w:cs="Arial"/>
                <w:bCs/>
                <w:sz w:val="20"/>
                <w:szCs w:val="22"/>
              </w:rPr>
              <w:t>The network can decide when to start/stop the data collection and send configuration.</w:t>
            </w:r>
          </w:p>
          <w:p w14:paraId="2DE264F1">
            <w:pPr>
              <w:pStyle w:val="25"/>
              <w:numPr>
                <w:ilvl w:val="1"/>
                <w:numId w:val="9"/>
              </w:numPr>
              <w:ind w:left="1440"/>
            </w:pPr>
            <w:r>
              <w:rPr>
                <w:rFonts w:hint="default" w:ascii="Arial" w:hAnsi="Arial" w:cs="Arial"/>
                <w:bCs/>
                <w:sz w:val="20"/>
                <w:szCs w:val="22"/>
              </w:rPr>
              <w:t>The network can configure whether UE is allowed to initiate request for data collection (e.g. start/stop indication).</w:t>
            </w:r>
          </w:p>
        </w:tc>
      </w:tr>
    </w:tbl>
    <w:p w14:paraId="1F32DC44">
      <w:pPr>
        <w:pStyle w:val="32"/>
        <w:numPr>
          <w:ilvl w:val="0"/>
          <w:numId w:val="0"/>
        </w:numPr>
        <w:pBdr>
          <w:top w:val="single" w:color="auto" w:sz="4" w:space="1"/>
          <w:left w:val="single" w:color="auto" w:sz="4" w:space="4"/>
          <w:bottom w:val="single" w:color="auto" w:sz="4" w:space="1"/>
          <w:right w:val="single" w:color="auto" w:sz="4" w:space="4"/>
        </w:pBdr>
        <w:tabs>
          <w:tab w:val="left" w:pos="1352"/>
          <w:tab w:val="clear" w:pos="1619"/>
        </w:tabs>
        <w:ind w:left="1619" w:hanging="360"/>
        <w:rPr>
          <w:rFonts w:hint="default" w:ascii="Arial" w:hAnsi="Arial" w:cs="Arial"/>
          <w:sz w:val="20"/>
          <w:szCs w:val="21"/>
        </w:rPr>
      </w:pPr>
      <w:r>
        <w:rPr>
          <w:rFonts w:hint="default" w:ascii="Arial" w:hAnsi="Arial" w:cs="Arial"/>
          <w:sz w:val="20"/>
          <w:szCs w:val="21"/>
          <w:lang w:val="en-US" w:eastAsia="zh-CN"/>
        </w:rPr>
        <w:t>RAN2#129</w:t>
      </w:r>
      <w:r>
        <w:rPr>
          <w:rFonts w:hint="eastAsia" w:ascii="Arial" w:hAnsi="Arial" w:cs="Arial"/>
          <w:sz w:val="20"/>
          <w:szCs w:val="21"/>
          <w:lang w:val="en-US" w:eastAsia="zh-CN"/>
        </w:rPr>
        <w:t>bis</w:t>
      </w:r>
      <w:r>
        <w:rPr>
          <w:rFonts w:hint="default" w:ascii="Arial" w:hAnsi="Arial" w:cs="Arial"/>
          <w:sz w:val="20"/>
          <w:szCs w:val="21"/>
          <w:lang w:val="en-US" w:eastAsia="zh-CN"/>
        </w:rPr>
        <w:t xml:space="preserve"> </w:t>
      </w:r>
      <w:r>
        <w:rPr>
          <w:rFonts w:hint="default" w:ascii="Arial" w:hAnsi="Arial" w:cs="Arial"/>
          <w:sz w:val="20"/>
          <w:szCs w:val="21"/>
        </w:rPr>
        <w:t>Agreements</w:t>
      </w:r>
    </w:p>
    <w:p w14:paraId="779D2A06">
      <w:pPr>
        <w:pStyle w:val="32"/>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sz w:val="20"/>
          <w:szCs w:val="21"/>
        </w:rPr>
      </w:pPr>
      <w:r>
        <w:rPr>
          <w:rFonts w:hint="default" w:ascii="Arial" w:hAnsi="Arial" w:cs="Arial"/>
          <w:b w:val="0"/>
          <w:bCs/>
          <w:sz w:val="20"/>
          <w:szCs w:val="21"/>
        </w:rPr>
        <w:t xml:space="preserve">The UE can request measurement configuration for data collection of AI/ML based beam management.   The request can contain one or more of the following: </w:t>
      </w:r>
    </w:p>
    <w:p w14:paraId="45DF74D6">
      <w:pPr>
        <w:pStyle w:val="25"/>
        <w:pBdr>
          <w:top w:val="single" w:color="auto" w:sz="4" w:space="1"/>
          <w:left w:val="single" w:color="auto" w:sz="4" w:space="4"/>
          <w:bottom w:val="single" w:color="auto" w:sz="4" w:space="1"/>
          <w:right w:val="single" w:color="auto" w:sz="4" w:space="4"/>
        </w:pBdr>
        <w:rPr>
          <w:rFonts w:hint="default" w:ascii="Arial" w:hAnsi="Arial" w:cs="Arial"/>
          <w:bCs/>
          <w:sz w:val="20"/>
          <w:szCs w:val="22"/>
        </w:rPr>
      </w:pPr>
      <w:r>
        <w:rPr>
          <w:rFonts w:hint="default" w:ascii="Arial" w:hAnsi="Arial" w:cs="Arial"/>
          <w:bCs/>
          <w:sz w:val="20"/>
          <w:szCs w:val="22"/>
        </w:rPr>
        <w:t>•</w:t>
      </w:r>
      <w:r>
        <w:rPr>
          <w:rFonts w:hint="default" w:ascii="Arial" w:hAnsi="Arial" w:cs="Arial"/>
          <w:bCs/>
          <w:sz w:val="20"/>
          <w:szCs w:val="22"/>
        </w:rPr>
        <w:tab/>
      </w:r>
      <w:r>
        <w:rPr>
          <w:rFonts w:hint="default" w:ascii="Arial" w:hAnsi="Arial" w:cs="Arial"/>
          <w:bCs/>
          <w:sz w:val="20"/>
          <w:szCs w:val="22"/>
        </w:rPr>
        <w:t>An indication on start/stop of data collection</w:t>
      </w:r>
    </w:p>
    <w:p w14:paraId="24D1BED6">
      <w:pPr>
        <w:pStyle w:val="25"/>
        <w:pBdr>
          <w:top w:val="single" w:color="auto" w:sz="4" w:space="1"/>
          <w:left w:val="single" w:color="auto" w:sz="4" w:space="4"/>
          <w:bottom w:val="single" w:color="auto" w:sz="4" w:space="1"/>
          <w:right w:val="single" w:color="auto" w:sz="4" w:space="4"/>
        </w:pBdr>
        <w:rPr>
          <w:rFonts w:hint="default" w:ascii="Arial" w:hAnsi="Arial" w:cs="Arial"/>
          <w:bCs/>
          <w:sz w:val="20"/>
          <w:szCs w:val="22"/>
        </w:rPr>
      </w:pPr>
      <w:r>
        <w:rPr>
          <w:rFonts w:hint="default" w:ascii="Arial" w:hAnsi="Arial" w:cs="Arial"/>
          <w:bCs/>
          <w:sz w:val="20"/>
          <w:szCs w:val="22"/>
        </w:rPr>
        <w:t>•</w:t>
      </w:r>
      <w:r>
        <w:rPr>
          <w:rFonts w:hint="default" w:ascii="Arial" w:hAnsi="Arial" w:cs="Arial"/>
          <w:bCs/>
          <w:sz w:val="20"/>
          <w:szCs w:val="22"/>
        </w:rPr>
        <w:tab/>
      </w:r>
      <w:r>
        <w:rPr>
          <w:rFonts w:hint="default" w:ascii="Arial" w:hAnsi="Arial" w:cs="Arial"/>
          <w:bCs/>
          <w:sz w:val="20"/>
          <w:szCs w:val="22"/>
        </w:rPr>
        <w:t>Preferred configuration from a list of candidate configurations provided by NW.  Details of signaling are FFS.  It is up to network what it configures at the end.</w:t>
      </w:r>
    </w:p>
    <w:p w14:paraId="1F5FFE56">
      <w:pPr>
        <w:pStyle w:val="32"/>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sz w:val="20"/>
          <w:szCs w:val="21"/>
        </w:rPr>
      </w:pPr>
      <w:r>
        <w:rPr>
          <w:rFonts w:hint="default" w:ascii="Arial" w:hAnsi="Arial" w:cs="Arial"/>
          <w:b w:val="0"/>
          <w:bCs/>
          <w:sz w:val="20"/>
          <w:szCs w:val="21"/>
        </w:rPr>
        <w:t xml:space="preserve">Introduce UAI message for UE request of data collection measurement configuration. And it is up to UE implementation when to send the request.  </w:t>
      </w:r>
    </w:p>
    <w:p w14:paraId="58C1C46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general, the network can provide or release the data collection configuration with or without UE request. The UE can send UAI message for request of data collection measurement configuration.</w:t>
      </w:r>
    </w:p>
    <w:p w14:paraId="55C6CB58">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object>
          <v:shape id="_x0000_i1026" o:spt="75" type="#_x0000_t75" style="height:159.85pt;width:325.5pt;" o:ole="t" filled="f" o:preferrelative="t" stroked="f" coordsize="21600,21600">
            <v:path/>
            <v:fill on="f" focussize="0,0"/>
            <v:stroke on="f"/>
            <v:imagedata r:id="rId7" croptop="1945f" cropbottom="24497f" o:title=""/>
            <o:lock v:ext="edit" aspectratio="t"/>
            <w10:wrap type="none"/>
            <w10:anchorlock/>
          </v:shape>
          <o:OLEObject Type="Embed" ProgID="Visio.Drawing.15" ShapeID="_x0000_i1026" DrawAspect="Content" ObjectID="_1468075726" r:id="rId6">
            <o:LockedField>false</o:LockedField>
          </o:OLEObject>
        </w:object>
      </w:r>
    </w:p>
    <w:p w14:paraId="33421DA3">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cs="Arial" w:eastAsiaTheme="minorEastAsia"/>
          <w:b/>
          <w:bCs/>
          <w:sz w:val="21"/>
          <w:szCs w:val="21"/>
          <w:lang w:val="en-US" w:eastAsia="zh-CN"/>
        </w:rPr>
      </w:pPr>
      <w:r>
        <w:rPr>
          <w:rFonts w:hint="default" w:ascii="Arial" w:hAnsi="Arial" w:cs="Arial"/>
          <w:b/>
          <w:bCs/>
          <w:sz w:val="21"/>
          <w:szCs w:val="21"/>
          <w:lang w:val="en-US" w:eastAsia="zh-CN"/>
        </w:rPr>
        <w:t>Figure 2. Basic flow for UE-side data collection configuration procedure</w:t>
      </w:r>
    </w:p>
    <w:p w14:paraId="10D4B1C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AI Mob, the similar principle and procedure can be reused.</w:t>
      </w:r>
    </w:p>
    <w:p w14:paraId="0B95561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13: The network can provide or release the data collection configuration with or without UE request for UE-side data collection.</w:t>
      </w:r>
    </w:p>
    <w:p w14:paraId="13AD22A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14: The UE can send UAI message to the network for request of data collection measurement configuration, including an indication on start/stop of data collection, preferred configuration from a list of candidate configurations provided by NW.</w:t>
      </w:r>
    </w:p>
    <w:p w14:paraId="1E9ED3F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757DEB1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sz w:val="21"/>
          <w:szCs w:val="22"/>
          <w:lang w:val="en-US" w:eastAsia="zh-CN"/>
        </w:rPr>
      </w:pPr>
      <w:r>
        <w:rPr>
          <w:rFonts w:hint="eastAsia" w:ascii="Arial" w:hAnsi="Arial" w:cs="Arial"/>
          <w:b w:val="0"/>
          <w:bCs/>
          <w:sz w:val="28"/>
          <w:szCs w:val="28"/>
          <w:lang w:val="en-US" w:eastAsia="zh-CN"/>
        </w:rPr>
        <w:t>2.3 Data content for RRM measurement prediction</w:t>
      </w:r>
    </w:p>
    <w:p w14:paraId="6481F87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During the study on RRM measurement prediction, RAN2 discussed temporal domain case A/case B, frequency domain and spatial domain prediction, as well as cell-based and cluster-based option. And for each scenario, the similar sub-use cases are considered for L3 beam level and cell level measurement prediction:</w:t>
      </w:r>
    </w:p>
    <w:p w14:paraId="2DD9E19F">
      <w:pPr>
        <w:keepNext w:val="0"/>
        <w:keepLines w:val="0"/>
        <w:pageBreakBefore w:val="0"/>
        <w:widowControl w:val="0"/>
        <w:kinsoku/>
        <w:wordWrap/>
        <w:overflowPunct/>
        <w:topLinePunct w:val="0"/>
        <w:autoSpaceDE/>
        <w:autoSpaceDN/>
        <w:bidi w:val="0"/>
        <w:adjustRightInd/>
        <w:snapToGrid/>
        <w:spacing w:before="0" w:beforeLines="50" w:after="120"/>
        <w:ind w:firstLine="420" w:firstLineChars="0"/>
        <w:jc w:val="both"/>
        <w:textAlignment w:val="auto"/>
        <w:rPr>
          <w:rFonts w:hint="eastAsia" w:ascii="Arial" w:hAnsi="Arial" w:eastAsia="等线" w:cs="Arial"/>
          <w:sz w:val="21"/>
          <w:szCs w:val="21"/>
          <w:lang w:val="en-US" w:eastAsia="zh-CN"/>
        </w:rPr>
      </w:pPr>
      <w:r>
        <w:rPr>
          <w:rFonts w:hint="eastAsia" w:ascii="Arial" w:hAnsi="Arial" w:eastAsia="等线" w:cs="Arial"/>
          <w:sz w:val="21"/>
          <w:szCs w:val="21"/>
          <w:lang w:val="en-US" w:eastAsia="zh-CN"/>
        </w:rPr>
        <w:t>- For L3 cell level measurement prediction:</w:t>
      </w:r>
    </w:p>
    <w:p w14:paraId="7B3346B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rPr>
      </w:pPr>
      <w:r>
        <w:rPr>
          <w:rFonts w:hint="default" w:ascii="Arial" w:hAnsi="Arial" w:cs="Arial"/>
          <w:i w:val="0"/>
          <w:iCs/>
          <w:sz w:val="21"/>
          <w:szCs w:val="21"/>
        </w:rPr>
        <w:t xml:space="preserve">Case 1: To predict beam level results, then generate cell level results based on the predicted beam results </w:t>
      </w:r>
    </w:p>
    <w:p w14:paraId="49B534B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rPr>
      </w:pPr>
      <w:r>
        <w:rPr>
          <w:rFonts w:hint="default" w:ascii="Arial" w:hAnsi="Arial" w:cs="Arial"/>
          <w:i w:val="0"/>
          <w:iCs/>
          <w:sz w:val="21"/>
          <w:szCs w:val="21"/>
        </w:rPr>
        <w:t>Case 2: To directly predict cell level results based on cell level results</w:t>
      </w:r>
    </w:p>
    <w:p w14:paraId="260BC59E">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rPr>
      </w:pPr>
      <w:r>
        <w:rPr>
          <w:rFonts w:hint="default" w:ascii="Arial" w:hAnsi="Arial" w:cs="Arial"/>
          <w:i w:val="0"/>
          <w:iCs/>
          <w:sz w:val="21"/>
          <w:szCs w:val="21"/>
        </w:rPr>
        <w:t xml:space="preserve">Case 3: To directly predict cell level results based on beam level results </w:t>
      </w:r>
    </w:p>
    <w:p w14:paraId="79A1AB97">
      <w:pPr>
        <w:keepNext w:val="0"/>
        <w:keepLines w:val="0"/>
        <w:pageBreakBefore w:val="0"/>
        <w:widowControl w:val="0"/>
        <w:kinsoku/>
        <w:wordWrap/>
        <w:overflowPunct/>
        <w:topLinePunct w:val="0"/>
        <w:autoSpaceDE/>
        <w:autoSpaceDN/>
        <w:bidi w:val="0"/>
        <w:adjustRightInd/>
        <w:snapToGrid/>
        <w:spacing w:before="0" w:beforeLines="50" w:after="120"/>
        <w:ind w:firstLine="420" w:firstLineChars="0"/>
        <w:jc w:val="both"/>
        <w:textAlignment w:val="auto"/>
        <w:rPr>
          <w:rFonts w:hint="eastAsia" w:ascii="Arial" w:hAnsi="Arial" w:eastAsia="等线" w:cs="Arial"/>
          <w:sz w:val="21"/>
          <w:szCs w:val="21"/>
          <w:lang w:val="en-US" w:eastAsia="zh-CN"/>
        </w:rPr>
      </w:pPr>
      <w:r>
        <w:rPr>
          <w:rFonts w:hint="eastAsia" w:ascii="Arial" w:hAnsi="Arial" w:eastAsia="等线" w:cs="Arial"/>
          <w:sz w:val="21"/>
          <w:szCs w:val="21"/>
          <w:lang w:val="en-US" w:eastAsia="zh-CN"/>
        </w:rPr>
        <w:t>- For L3 beam level measurement prediction:</w:t>
      </w:r>
    </w:p>
    <w:p w14:paraId="2248B75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lang w:val="en-US" w:eastAsia="zh-CN"/>
        </w:rPr>
      </w:pPr>
      <w:r>
        <w:rPr>
          <w:rFonts w:hint="default" w:ascii="Arial" w:hAnsi="Arial" w:cs="Arial"/>
          <w:i w:val="0"/>
          <w:iCs/>
          <w:sz w:val="21"/>
          <w:szCs w:val="21"/>
          <w:lang w:val="en-US" w:eastAsia="zh-CN"/>
        </w:rPr>
        <w:t>Case 1: To predict L1 filtered beam level results, then generate L3 filtered results based on the predicted L1 beam results</w:t>
      </w:r>
    </w:p>
    <w:p w14:paraId="78294D2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lang w:val="en-US" w:eastAsia="zh-CN"/>
        </w:rPr>
      </w:pPr>
      <w:r>
        <w:rPr>
          <w:rFonts w:hint="default" w:ascii="Arial" w:hAnsi="Arial" w:cs="Arial"/>
          <w:i w:val="0"/>
          <w:iCs/>
          <w:sz w:val="21"/>
          <w:szCs w:val="21"/>
          <w:lang w:val="en-US" w:eastAsia="zh-CN"/>
        </w:rPr>
        <w:t>Case 2: To directly predict L3 filtered beam level results based on the L3 beam level measurement results</w:t>
      </w:r>
    </w:p>
    <w:p w14:paraId="72835CC0">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1260" w:leftChars="0" w:hanging="420" w:firstLineChars="0"/>
        <w:jc w:val="both"/>
        <w:textAlignment w:val="auto"/>
        <w:rPr>
          <w:rFonts w:hint="default" w:ascii="Arial" w:hAnsi="Arial" w:cs="Arial"/>
          <w:i w:val="0"/>
          <w:iCs/>
          <w:sz w:val="21"/>
          <w:szCs w:val="21"/>
          <w:lang w:val="en-US" w:eastAsia="zh-CN"/>
        </w:rPr>
      </w:pPr>
      <w:r>
        <w:rPr>
          <w:rFonts w:hint="default" w:ascii="Arial" w:hAnsi="Arial" w:cs="Arial"/>
          <w:i w:val="0"/>
          <w:iCs/>
          <w:sz w:val="21"/>
          <w:szCs w:val="21"/>
          <w:lang w:val="en-US" w:eastAsia="zh-CN"/>
        </w:rPr>
        <w:t>Case 3: To directly predict L3 filtered beam level results based on the L1 beam level measurement results</w:t>
      </w:r>
    </w:p>
    <w:p w14:paraId="51DBF3C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temporal domain prediction case 1, at least L1 beam level results and/or beam ID, cell ID (e.g. for cluster-based) are needed, for case 2, at least L3 cell/beam level results and cell ID (e.g. for cluster-based) are needed, and for case 3, at least L1 beam level results and/or beam ID, L3 cell/beam level results and cell ID (e.g. for cluster-based) are needed. Furthermore, time info may be needed.</w:t>
      </w:r>
    </w:p>
    <w:p w14:paraId="41D69D5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Observation 1: For temporal domain prediction, L1 beam level, L3 beam/cell level results, and time info are needed for model training, while the details can be different per sub-use case.</w:t>
      </w:r>
    </w:p>
    <w:p w14:paraId="6AE0A94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Regarding to case A and case B, we think OW/PW length and MRRT are not necessary for data collection. We understand that these info is up to implementation during model training procedure.</w:t>
      </w:r>
    </w:p>
    <w:p w14:paraId="29D53DC5">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ascii="Times New Roman" w:hAnsi="Times New Roman" w:eastAsia="宋体" w:cs="Times New Roman"/>
        </w:rPr>
      </w:pPr>
      <w:r>
        <w:rPr>
          <w:rFonts w:hint="eastAsia" w:ascii="Times New Roman" w:hAnsi="Times New Roman" w:eastAsia="宋体" w:cs="Times New Roman"/>
          <w:lang w:val="en-US" w:eastAsia="zh-CN"/>
        </w:rPr>
        <w:t xml:space="preserve">  </w:t>
      </w:r>
      <w:r>
        <w:rPr>
          <w:rFonts w:ascii="Times New Roman" w:hAnsi="Times New Roman" w:eastAsia="宋体" w:cs="Times New Roman"/>
        </w:rPr>
        <w:object>
          <v:shape id="_x0000_i1027" o:spt="75" type="#_x0000_t75" style="height:137.3pt;width:255.1pt;" o:ole="t" filled="f" o:preferrelative="t" stroked="f" coordsize="21600,21600">
            <v:path/>
            <v:fill on="f" focussize="0,0"/>
            <v:stroke on="f"/>
            <v:imagedata r:id="rId9" cropleft="2814f" cropright="2661f" o:title=""/>
            <o:lock v:ext="edit" aspectratio="t"/>
            <w10:wrap type="none"/>
            <w10:anchorlock/>
          </v:shape>
          <o:OLEObject Type="Embed" ProgID="Visio.Drawing.15" ShapeID="_x0000_i1027" DrawAspect="Content" ObjectID="_1468075727" r:id="rId8">
            <o:LockedField>false</o:LockedField>
          </o:OLEObject>
        </w:object>
      </w:r>
      <w:r>
        <w:rPr>
          <w:rFonts w:hint="eastAsia" w:ascii="Times New Roman" w:hAnsi="Times New Roman" w:eastAsia="宋体" w:cs="Times New Roman"/>
          <w:lang w:val="en-US" w:eastAsia="zh-CN"/>
        </w:rPr>
        <w:t xml:space="preserve"> </w:t>
      </w:r>
      <w:r>
        <w:rPr>
          <w:rFonts w:ascii="Times New Roman" w:hAnsi="Times New Roman" w:eastAsia="宋体" w:cs="Times New Roman"/>
        </w:rPr>
        <w:object>
          <v:shape id="_x0000_i1028" o:spt="75" type="#_x0000_t75" style="height:138.65pt;width:198.5pt;" o:ole="t" filled="f" o:preferrelative="t" stroked="f" coordsize="21600,21600">
            <v:path/>
            <v:fill on="f" focussize="0,0"/>
            <v:stroke on="f"/>
            <v:imagedata r:id="rId11" cropleft="4476f" o:title=""/>
            <o:lock v:ext="edit" aspectratio="t"/>
            <w10:wrap type="none"/>
            <w10:anchorlock/>
          </v:shape>
          <o:OLEObject Type="Embed" ProgID="Visio.Drawing.15" ShapeID="_x0000_i1028" DrawAspect="Content" ObjectID="_1468075728" r:id="rId10">
            <o:LockedField>false</o:LockedField>
          </o:OLEObject>
        </w:object>
      </w:r>
    </w:p>
    <w:p w14:paraId="3BF6AD6D">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120"/>
        <w:jc w:val="center"/>
        <w:textAlignment w:val="auto"/>
        <w:rPr>
          <w:rFonts w:hint="default" w:ascii="Arial" w:hAnsi="Arial" w:eastAsia="宋体" w:cs="Arial"/>
          <w:b/>
          <w:bCs/>
          <w:sz w:val="21"/>
          <w:szCs w:val="22"/>
          <w:lang w:val="en-US" w:eastAsia="zh-CN"/>
        </w:rPr>
      </w:pPr>
      <w:r>
        <w:rPr>
          <w:rFonts w:hint="default" w:ascii="Arial" w:hAnsi="Arial" w:eastAsia="宋体" w:cs="Arial"/>
          <w:b/>
          <w:bCs/>
          <w:sz w:val="21"/>
          <w:szCs w:val="22"/>
          <w:lang w:val="en-US" w:eastAsia="zh-CN"/>
        </w:rPr>
        <w:t>Case A (without measurement reduction)          (b) Case B (with measurement reduction)</w:t>
      </w:r>
    </w:p>
    <w:p w14:paraId="1B261B9A">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120"/>
        <w:jc w:val="center"/>
        <w:textAlignment w:val="auto"/>
        <w:rPr>
          <w:rFonts w:hint="default" w:ascii="Arial" w:hAnsi="Arial" w:eastAsia="宋体" w:cs="Arial"/>
          <w:b/>
          <w:bCs/>
          <w:sz w:val="21"/>
          <w:szCs w:val="22"/>
          <w:lang w:val="en-US" w:eastAsia="zh-CN"/>
        </w:rPr>
      </w:pPr>
      <w:r>
        <w:rPr>
          <w:rFonts w:hint="default" w:ascii="Arial" w:hAnsi="Arial" w:eastAsia="宋体" w:cs="Arial"/>
          <w:b/>
          <w:bCs/>
          <w:sz w:val="21"/>
          <w:szCs w:val="22"/>
          <w:lang w:val="en-US" w:eastAsia="zh-CN"/>
        </w:rPr>
        <w:t>Figure 3. Temporal domain prediction</w:t>
      </w:r>
    </w:p>
    <w:p w14:paraId="0F991BC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b/>
          <w:bCs/>
          <w:lang w:val="en-US" w:eastAsia="zh-CN"/>
        </w:rPr>
        <w:t>Observation 2: OW length, PW length and MRRT are not necessary for model training data collection, which can be up to implementation.</w:t>
      </w:r>
    </w:p>
    <w:p w14:paraId="29DBC2E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frequency domain prediction, in addition to beam/cell level results, frequency info (e.g. 2GHz, 4GHz) is also needed.</w:t>
      </w:r>
    </w:p>
    <w:p w14:paraId="1AD9C53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Observation 3: For frequency domain prediction, in addition to beam/cell level results, frequency info is needed.</w:t>
      </w:r>
    </w:p>
    <w:p w14:paraId="6EC954D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spatial domain prediction, RAN2 agreed to pending the discussion in last meeting since it is similar to beam management case in AI/ML PHY.</w:t>
      </w:r>
    </w:p>
    <w:p w14:paraId="3E80746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Based on the simulation results, RAN2 had the following observations on UE speed for intra-frequency temporal domain and inter-frequency prediction. Since UE speed has impacts on prediction accuracy for intra-frequency temporal domain prediction, it should be included in data collection for model training. However, UE speed has minor impact on inter-frequency prediction, it is not needed to include UE speed in data collection.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874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D0D259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sz w:val="20"/>
                <w:szCs w:val="21"/>
                <w:vertAlign w:val="baseline"/>
                <w:lang w:val="en-US" w:eastAsia="zh-CN"/>
              </w:rPr>
            </w:pPr>
            <w:r>
              <w:rPr>
                <w:rFonts w:hint="default" w:ascii="Arial" w:hAnsi="Arial" w:eastAsia="等线" w:cs="Arial"/>
                <w:b/>
                <w:bCs/>
                <w:sz w:val="20"/>
                <w:szCs w:val="21"/>
                <w:vertAlign w:val="baseline"/>
                <w:lang w:val="en-US" w:eastAsia="zh-CN"/>
              </w:rPr>
              <w:t>RAN2#127bis Agreement</w:t>
            </w:r>
          </w:p>
          <w:p w14:paraId="53282D6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0"/>
                <w:szCs w:val="21"/>
              </w:rPr>
            </w:pPr>
            <w:r>
              <w:rPr>
                <w:rFonts w:hint="eastAsia" w:ascii="Arial" w:hAnsi="Arial" w:cs="Arial"/>
                <w:sz w:val="20"/>
                <w:szCs w:val="21"/>
                <w:lang w:val="en-US" w:eastAsia="zh-CN"/>
              </w:rPr>
              <w:t xml:space="preserve">1   </w:t>
            </w:r>
            <w:r>
              <w:rPr>
                <w:rFonts w:hint="default" w:ascii="Arial" w:hAnsi="Arial" w:cs="Arial"/>
                <w:sz w:val="20"/>
                <w:szCs w:val="21"/>
              </w:rPr>
              <w:t>For intra-frequency temporal domain, higher UE speeds result in larger prediction errors</w:t>
            </w:r>
          </w:p>
          <w:p w14:paraId="3A18B70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 xml:space="preserve">2  </w:t>
            </w:r>
            <w:r>
              <w:rPr>
                <w:rFonts w:hint="default" w:ascii="Arial" w:hAnsi="Arial" w:cs="Arial"/>
                <w:sz w:val="20"/>
                <w:szCs w:val="21"/>
              </w:rPr>
              <w:t xml:space="preserve">For co-located scenario, the UE speed in the inter-frequency case has minor impact on prediction accuracy </w:t>
            </w:r>
          </w:p>
        </w:tc>
      </w:tr>
    </w:tbl>
    <w:p w14:paraId="4CAA421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Observation 4: UE speed is needed for intra-frequency temporal domain prediction, while it is not necessary for inter-frequency prediction.</w:t>
      </w:r>
    </w:p>
    <w:p w14:paraId="6FC8B0B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Regarding to UE-sided model and NW-sided model, we think the similar data content will be used for model training, from the perspective of standardized data. Of course, the proprietary information for model training can be up to implementation.</w:t>
      </w:r>
    </w:p>
    <w:p w14:paraId="76ABFF0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Based on the above analysis, we summarize the data content for model training per sub-use case as follows:</w:t>
      </w:r>
    </w:p>
    <w:p w14:paraId="41C9B683">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sz w:val="21"/>
          <w:szCs w:val="22"/>
          <w:lang w:val="en-US" w:eastAsia="zh-CN"/>
        </w:rPr>
      </w:pPr>
      <w:r>
        <w:rPr>
          <w:rFonts w:hint="eastAsia" w:ascii="Arial" w:hAnsi="Arial" w:eastAsia="等线" w:cs="Arial"/>
          <w:b/>
          <w:bCs/>
          <w:sz w:val="21"/>
          <w:szCs w:val="22"/>
          <w:lang w:val="en-US" w:eastAsia="zh-CN"/>
        </w:rPr>
        <w:t>Table 1. Data content for model training for RRM measurement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6"/>
        <w:gridCol w:w="1974"/>
        <w:gridCol w:w="1633"/>
        <w:gridCol w:w="1811"/>
        <w:gridCol w:w="2711"/>
      </w:tblGrid>
      <w:tr w14:paraId="70F1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Align w:val="center"/>
          </w:tcPr>
          <w:p w14:paraId="12AA22E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LCM purpose</w:t>
            </w:r>
          </w:p>
        </w:tc>
        <w:tc>
          <w:tcPr>
            <w:tcW w:w="1974" w:type="dxa"/>
            <w:vAlign w:val="center"/>
          </w:tcPr>
          <w:p w14:paraId="4C336F34">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Prediction domain</w:t>
            </w:r>
          </w:p>
        </w:tc>
        <w:tc>
          <w:tcPr>
            <w:tcW w:w="1633" w:type="dxa"/>
            <w:vAlign w:val="center"/>
          </w:tcPr>
          <w:p w14:paraId="5AE275B6">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Sub-use case</w:t>
            </w:r>
          </w:p>
        </w:tc>
        <w:tc>
          <w:tcPr>
            <w:tcW w:w="1811" w:type="dxa"/>
            <w:vAlign w:val="center"/>
          </w:tcPr>
          <w:p w14:paraId="2247D623">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Model type</w:t>
            </w:r>
          </w:p>
        </w:tc>
        <w:tc>
          <w:tcPr>
            <w:tcW w:w="2711" w:type="dxa"/>
            <w:vAlign w:val="center"/>
          </w:tcPr>
          <w:p w14:paraId="54D50413">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Data content</w:t>
            </w:r>
          </w:p>
        </w:tc>
      </w:tr>
      <w:tr w14:paraId="20FB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restart"/>
            <w:vAlign w:val="center"/>
          </w:tcPr>
          <w:p w14:paraId="1BB421A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Model training</w:t>
            </w:r>
          </w:p>
        </w:tc>
        <w:tc>
          <w:tcPr>
            <w:tcW w:w="1974" w:type="dxa"/>
            <w:vMerge w:val="restart"/>
            <w:vAlign w:val="center"/>
          </w:tcPr>
          <w:p w14:paraId="37324115">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Temporal domain</w:t>
            </w:r>
          </w:p>
        </w:tc>
        <w:tc>
          <w:tcPr>
            <w:tcW w:w="1633" w:type="dxa"/>
            <w:vAlign w:val="center"/>
          </w:tcPr>
          <w:p w14:paraId="1EBE9D58">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1</w:t>
            </w:r>
          </w:p>
        </w:tc>
        <w:tc>
          <w:tcPr>
            <w:tcW w:w="1811" w:type="dxa"/>
            <w:vAlign w:val="center"/>
          </w:tcPr>
          <w:p w14:paraId="40919332">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eastAsia" w:ascii="Arial" w:hAnsi="Arial" w:eastAsia="等线" w:cs="Arial"/>
                <w:vertAlign w:val="baseline"/>
                <w:lang w:val="en-US" w:eastAsia="zh-CN"/>
              </w:rPr>
            </w:pPr>
            <w:r>
              <w:rPr>
                <w:rFonts w:hint="eastAsia" w:ascii="Arial" w:hAnsi="Arial" w:eastAsia="等线" w:cs="Arial"/>
                <w:vertAlign w:val="baseline"/>
                <w:lang w:val="en-US" w:eastAsia="zh-CN"/>
              </w:rPr>
              <w:t>UE-sided model,</w:t>
            </w:r>
          </w:p>
          <w:p w14:paraId="0ED4C75F">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NW-sided model</w:t>
            </w:r>
          </w:p>
        </w:tc>
        <w:tc>
          <w:tcPr>
            <w:tcW w:w="2711" w:type="dxa"/>
            <w:vAlign w:val="center"/>
          </w:tcPr>
          <w:p w14:paraId="4CA0C7F5">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L1 beam level results and/or beam ID</w:t>
            </w:r>
          </w:p>
          <w:p w14:paraId="5D3FFA6C">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7569571E">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lang w:val="en-US" w:eastAsia="zh-CN"/>
              </w:rPr>
            </w:pPr>
            <w:r>
              <w:rPr>
                <w:rFonts w:hint="eastAsia" w:ascii="Arial" w:hAnsi="Arial" w:eastAsia="等线" w:cs="Arial"/>
                <w:lang w:val="en-US" w:eastAsia="zh-CN"/>
              </w:rPr>
              <w:t>UE speed</w:t>
            </w:r>
          </w:p>
          <w:p w14:paraId="15178215">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lang w:val="en-US" w:eastAsia="zh-CN"/>
              </w:rPr>
            </w:pPr>
            <w:r>
              <w:rPr>
                <w:rFonts w:hint="eastAsia" w:ascii="Arial" w:hAnsi="Arial" w:eastAsia="等线" w:cs="Arial"/>
                <w:lang w:val="en-US" w:eastAsia="zh-CN"/>
              </w:rPr>
              <w:t>Time info</w:t>
            </w:r>
          </w:p>
        </w:tc>
      </w:tr>
      <w:tr w14:paraId="46BF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142873E1">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continue"/>
            <w:vAlign w:val="center"/>
          </w:tcPr>
          <w:p w14:paraId="1A1EEC03">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633" w:type="dxa"/>
            <w:vAlign w:val="center"/>
          </w:tcPr>
          <w:p w14:paraId="57FD22C6">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2</w:t>
            </w:r>
          </w:p>
        </w:tc>
        <w:tc>
          <w:tcPr>
            <w:tcW w:w="1811" w:type="dxa"/>
            <w:vAlign w:val="center"/>
          </w:tcPr>
          <w:p w14:paraId="198CF012">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0914F05E">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 xml:space="preserve">L3 cell level results, or L3 beam level results </w:t>
            </w:r>
          </w:p>
          <w:p w14:paraId="42DEBF3E">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7DB93760">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UE speed</w:t>
            </w:r>
          </w:p>
          <w:p w14:paraId="295949D9">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Time info</w:t>
            </w:r>
          </w:p>
        </w:tc>
      </w:tr>
      <w:tr w14:paraId="3A51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5C57D1B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continue"/>
            <w:vAlign w:val="center"/>
          </w:tcPr>
          <w:p w14:paraId="66694721">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633" w:type="dxa"/>
            <w:vAlign w:val="center"/>
          </w:tcPr>
          <w:p w14:paraId="227032D4">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3</w:t>
            </w:r>
          </w:p>
        </w:tc>
        <w:tc>
          <w:tcPr>
            <w:tcW w:w="1811" w:type="dxa"/>
            <w:vAlign w:val="center"/>
          </w:tcPr>
          <w:p w14:paraId="7FF23345">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4D04250C">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L1 beam level results and/or beam ID</w:t>
            </w:r>
          </w:p>
          <w:p w14:paraId="2C92BA2D">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L3 cell level results, or L3 beam level results</w:t>
            </w:r>
          </w:p>
          <w:p w14:paraId="78036E63">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6EC5C5A7">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lang w:val="en-US" w:eastAsia="zh-CN"/>
              </w:rPr>
            </w:pPr>
            <w:r>
              <w:rPr>
                <w:rFonts w:hint="eastAsia" w:ascii="Arial" w:hAnsi="Arial" w:eastAsia="等线" w:cs="Arial"/>
                <w:lang w:val="en-US" w:eastAsia="zh-CN"/>
              </w:rPr>
              <w:t>UE speed</w:t>
            </w:r>
          </w:p>
          <w:p w14:paraId="03EB6C2C">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Time info</w:t>
            </w:r>
          </w:p>
        </w:tc>
      </w:tr>
      <w:tr w14:paraId="681B2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41E8F41F">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restart"/>
            <w:vAlign w:val="center"/>
          </w:tcPr>
          <w:p w14:paraId="6FBC7C20">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Frequency domain</w:t>
            </w:r>
          </w:p>
        </w:tc>
        <w:tc>
          <w:tcPr>
            <w:tcW w:w="1633" w:type="dxa"/>
            <w:vAlign w:val="center"/>
          </w:tcPr>
          <w:p w14:paraId="74B57ADC">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1</w:t>
            </w:r>
          </w:p>
        </w:tc>
        <w:tc>
          <w:tcPr>
            <w:tcW w:w="1811" w:type="dxa"/>
            <w:vAlign w:val="center"/>
          </w:tcPr>
          <w:p w14:paraId="39746E0D">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595AE0B5">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L1 beam level results and/or beam ID</w:t>
            </w:r>
          </w:p>
          <w:p w14:paraId="7ECC4B11">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318FAD69">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Frequency info</w:t>
            </w:r>
          </w:p>
        </w:tc>
      </w:tr>
      <w:tr w14:paraId="4A6D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7B5181E1">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continue"/>
            <w:vAlign w:val="center"/>
          </w:tcPr>
          <w:p w14:paraId="6E3B42D0">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633" w:type="dxa"/>
            <w:vAlign w:val="center"/>
          </w:tcPr>
          <w:p w14:paraId="253484A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2</w:t>
            </w:r>
          </w:p>
        </w:tc>
        <w:tc>
          <w:tcPr>
            <w:tcW w:w="1811" w:type="dxa"/>
            <w:vAlign w:val="center"/>
          </w:tcPr>
          <w:p w14:paraId="6BECF6EE">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36C7DE1C">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 xml:space="preserve">L3 cell level results, or L3 beam level results </w:t>
            </w:r>
          </w:p>
          <w:p w14:paraId="36FB3C41">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0880D875">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Frequency info</w:t>
            </w:r>
          </w:p>
        </w:tc>
      </w:tr>
      <w:tr w14:paraId="01D1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41BBA724">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continue"/>
            <w:vAlign w:val="center"/>
          </w:tcPr>
          <w:p w14:paraId="3229AA06">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633" w:type="dxa"/>
            <w:vAlign w:val="center"/>
          </w:tcPr>
          <w:p w14:paraId="060EB380">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3</w:t>
            </w:r>
          </w:p>
        </w:tc>
        <w:tc>
          <w:tcPr>
            <w:tcW w:w="1811" w:type="dxa"/>
            <w:vAlign w:val="center"/>
          </w:tcPr>
          <w:p w14:paraId="0B627F28">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4FC24EBA">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L1 beam level results and/or beam ID</w:t>
            </w:r>
          </w:p>
          <w:p w14:paraId="31C83697">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L3 cell level results, or L3 beam level results</w:t>
            </w:r>
          </w:p>
          <w:p w14:paraId="71DA18E8">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54D9C00E">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Frequency info</w:t>
            </w:r>
          </w:p>
        </w:tc>
      </w:tr>
    </w:tbl>
    <w:p w14:paraId="4759A7D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eastAsia="等线"/>
          <w:b/>
          <w:bCs/>
          <w:lang w:val="en-US" w:eastAsia="zh-CN"/>
        </w:rPr>
      </w:pPr>
      <w:r>
        <w:rPr>
          <w:rFonts w:hint="eastAsia" w:ascii="Arial" w:hAnsi="Arial" w:eastAsia="等线" w:cs="Arial"/>
          <w:b/>
          <w:bCs/>
          <w:lang w:val="en-US" w:eastAsia="zh-CN"/>
        </w:rPr>
        <w:t>Proposal 15: RAN2 takes Table 1 as starting point for model training data collection for RRM measurement prediction.</w:t>
      </w:r>
    </w:p>
    <w:p w14:paraId="2C389012">
      <w:pPr>
        <w:spacing w:before="120" w:beforeLines="50" w:after="120" w:line="240" w:lineRule="auto"/>
        <w:rPr>
          <w:rFonts w:hint="default" w:ascii="Arial" w:hAnsi="Arial" w:eastAsia="宋体" w:cs="Arial"/>
          <w:sz w:val="21"/>
          <w:szCs w:val="22"/>
          <w:lang w:val="en-US" w:eastAsia="zh-CN"/>
        </w:rPr>
      </w:pPr>
    </w:p>
    <w:p w14:paraId="6DE1C05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sz w:val="21"/>
          <w:szCs w:val="22"/>
          <w:lang w:val="en-US" w:eastAsia="zh-CN"/>
        </w:rPr>
      </w:pPr>
      <w:r>
        <w:rPr>
          <w:rFonts w:hint="eastAsia" w:ascii="Arial" w:hAnsi="Arial" w:cs="Arial"/>
          <w:b w:val="0"/>
          <w:bCs/>
          <w:sz w:val="28"/>
          <w:szCs w:val="28"/>
          <w:lang w:val="en-US" w:eastAsia="zh-CN"/>
        </w:rPr>
        <w:t>2.4 Data content for measurement event prediction</w:t>
      </w:r>
    </w:p>
    <w:p w14:paraId="639F9FAF">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RAN2 studied direct prediction and indirect prediction for measurement event prediction, and only UE-sided model is considered. And RAN2 agreed to consider all A1-6 events, unless technical problems are identified. </w:t>
      </w:r>
    </w:p>
    <w:p w14:paraId="1A68E813">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For indirect prediction, the same data content as temporal domain RRM measurement prediction discussed in section 2.3 will be reused for model training.</w:t>
      </w:r>
    </w:p>
    <w:p w14:paraId="26936E03">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For direct prediction, temporal L3 cell level measurement results of serving cell and/or neighbor cells, measurement event configuration (e.g. offset, TTT), and occurrence time are needed for model training.</w:t>
      </w:r>
    </w:p>
    <w:p w14:paraId="667D7A61">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Based on the </w:t>
      </w:r>
      <w:r>
        <w:rPr>
          <w:rFonts w:hint="eastAsia" w:ascii="Arial" w:hAnsi="Arial" w:eastAsia="等线" w:cs="Arial"/>
          <w:lang w:val="en-US" w:eastAsia="zh-CN"/>
        </w:rPr>
        <w:t>above analysis, we summarize the data content for model training for direct and indirect prediction as follows:</w:t>
      </w:r>
    </w:p>
    <w:p w14:paraId="45FCFDB0">
      <w:pPr>
        <w:numPr>
          <w:ilvl w:val="0"/>
          <w:numId w:val="0"/>
        </w:numPr>
        <w:spacing w:after="180"/>
        <w:ind w:leftChars="0"/>
        <w:jc w:val="center"/>
        <w:rPr>
          <w:rFonts w:hint="default" w:ascii="Arial" w:hAnsi="Arial" w:eastAsia="宋体" w:cs="Arial"/>
          <w:sz w:val="21"/>
          <w:szCs w:val="22"/>
          <w:lang w:val="en-US" w:eastAsia="zh-CN"/>
        </w:rPr>
      </w:pPr>
      <w:r>
        <w:rPr>
          <w:rFonts w:hint="eastAsia" w:ascii="Arial" w:hAnsi="Arial" w:eastAsia="宋体" w:cs="Arial"/>
          <w:b/>
          <w:bCs/>
          <w:sz w:val="21"/>
          <w:szCs w:val="22"/>
          <w:lang w:val="en-US" w:eastAsia="zh-CN"/>
        </w:rPr>
        <w:t xml:space="preserve">Table 2. </w:t>
      </w:r>
      <w:r>
        <w:rPr>
          <w:rFonts w:hint="eastAsia" w:ascii="Arial" w:hAnsi="Arial" w:eastAsia="等线" w:cs="Arial"/>
          <w:b/>
          <w:bCs/>
          <w:sz w:val="21"/>
          <w:szCs w:val="22"/>
          <w:lang w:val="en-US" w:eastAsia="zh-CN"/>
        </w:rPr>
        <w:t>Data content for model training for measurement event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2019"/>
        <w:gridCol w:w="1829"/>
        <w:gridCol w:w="4172"/>
      </w:tblGrid>
      <w:tr w14:paraId="654D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shd w:val="clear" w:color="auto" w:fill="auto"/>
            <w:vAlign w:val="center"/>
          </w:tcPr>
          <w:p w14:paraId="03B4E844">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kern w:val="2"/>
                <w:sz w:val="21"/>
                <w:szCs w:val="22"/>
                <w:vertAlign w:val="baseline"/>
                <w:lang w:val="en-US" w:eastAsia="zh-CN" w:bidi="ar-SA"/>
              </w:rPr>
            </w:pPr>
            <w:r>
              <w:rPr>
                <w:rFonts w:hint="eastAsia" w:ascii="Arial" w:hAnsi="Arial" w:eastAsia="等线" w:cs="Arial"/>
                <w:b/>
                <w:bCs/>
                <w:vertAlign w:val="baseline"/>
                <w:lang w:val="en-US" w:eastAsia="zh-CN"/>
              </w:rPr>
              <w:t>LCM purpose</w:t>
            </w:r>
          </w:p>
        </w:tc>
        <w:tc>
          <w:tcPr>
            <w:tcW w:w="2019" w:type="dxa"/>
            <w:shd w:val="clear" w:color="auto" w:fill="auto"/>
            <w:vAlign w:val="center"/>
          </w:tcPr>
          <w:p w14:paraId="21ED7D7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kern w:val="2"/>
                <w:sz w:val="21"/>
                <w:szCs w:val="22"/>
                <w:vertAlign w:val="baseline"/>
                <w:lang w:val="en-US" w:eastAsia="zh-CN" w:bidi="ar-SA"/>
              </w:rPr>
            </w:pPr>
            <w:r>
              <w:rPr>
                <w:rFonts w:hint="eastAsia" w:ascii="Arial" w:hAnsi="Arial" w:eastAsia="等线" w:cs="Arial"/>
                <w:b/>
                <w:bCs/>
                <w:vertAlign w:val="baseline"/>
                <w:lang w:val="en-US" w:eastAsia="zh-CN"/>
              </w:rPr>
              <w:t>Prediction option</w:t>
            </w:r>
          </w:p>
        </w:tc>
        <w:tc>
          <w:tcPr>
            <w:tcW w:w="1829" w:type="dxa"/>
            <w:shd w:val="clear" w:color="auto" w:fill="auto"/>
            <w:vAlign w:val="center"/>
          </w:tcPr>
          <w:p w14:paraId="5D7D88A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kern w:val="2"/>
                <w:sz w:val="21"/>
                <w:szCs w:val="22"/>
                <w:vertAlign w:val="baseline"/>
                <w:lang w:val="en-US" w:eastAsia="zh-CN" w:bidi="ar-SA"/>
              </w:rPr>
            </w:pPr>
            <w:r>
              <w:rPr>
                <w:rFonts w:hint="eastAsia" w:ascii="Arial" w:hAnsi="Arial" w:eastAsia="等线" w:cs="Arial"/>
                <w:b/>
                <w:bCs/>
                <w:vertAlign w:val="baseline"/>
                <w:lang w:val="en-US" w:eastAsia="zh-CN"/>
              </w:rPr>
              <w:t>Model type</w:t>
            </w:r>
          </w:p>
        </w:tc>
        <w:tc>
          <w:tcPr>
            <w:tcW w:w="4172" w:type="dxa"/>
            <w:shd w:val="clear" w:color="auto" w:fill="auto"/>
            <w:vAlign w:val="center"/>
          </w:tcPr>
          <w:p w14:paraId="68CF1264">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kern w:val="2"/>
                <w:sz w:val="21"/>
                <w:szCs w:val="22"/>
                <w:vertAlign w:val="baseline"/>
                <w:lang w:val="en-US" w:eastAsia="zh-CN" w:bidi="ar-SA"/>
              </w:rPr>
            </w:pPr>
            <w:r>
              <w:rPr>
                <w:rFonts w:hint="eastAsia" w:ascii="Arial" w:hAnsi="Arial" w:eastAsia="等线" w:cs="Arial"/>
                <w:b/>
                <w:bCs/>
                <w:vertAlign w:val="baseline"/>
                <w:lang w:val="en-US" w:eastAsia="zh-CN"/>
              </w:rPr>
              <w:t>Data content</w:t>
            </w:r>
          </w:p>
        </w:tc>
      </w:tr>
      <w:tr w14:paraId="43805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restart"/>
            <w:vAlign w:val="center"/>
          </w:tcPr>
          <w:p w14:paraId="060AF46C">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等线" w:cs="Arial"/>
                <w:vertAlign w:val="baseline"/>
                <w:lang w:val="en-US" w:eastAsia="zh-CN"/>
              </w:rPr>
              <w:t>Model training</w:t>
            </w:r>
          </w:p>
        </w:tc>
        <w:tc>
          <w:tcPr>
            <w:tcW w:w="2019" w:type="dxa"/>
            <w:vAlign w:val="center"/>
          </w:tcPr>
          <w:p w14:paraId="78E2731D">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Indirect prediction</w:t>
            </w:r>
          </w:p>
        </w:tc>
        <w:tc>
          <w:tcPr>
            <w:tcW w:w="1829" w:type="dxa"/>
            <w:vAlign w:val="center"/>
          </w:tcPr>
          <w:p w14:paraId="2F93F2FE">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UE-sided model</w:t>
            </w:r>
          </w:p>
        </w:tc>
        <w:tc>
          <w:tcPr>
            <w:tcW w:w="4172" w:type="dxa"/>
            <w:vAlign w:val="center"/>
          </w:tcPr>
          <w:p w14:paraId="370B7EE5">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 xml:space="preserve">Same </w:t>
            </w:r>
            <w:r>
              <w:rPr>
                <w:rFonts w:hint="eastAsia" w:ascii="Arial" w:hAnsi="Arial" w:eastAsia="等线" w:cs="Arial"/>
                <w:lang w:val="en-US" w:eastAsia="zh-CN"/>
              </w:rPr>
              <w:t xml:space="preserve">as </w:t>
            </w:r>
            <w:r>
              <w:rPr>
                <w:rFonts w:hint="eastAsia" w:ascii="Arial" w:hAnsi="Arial" w:eastAsia="宋体" w:cs="Arial"/>
                <w:sz w:val="21"/>
                <w:szCs w:val="22"/>
                <w:vertAlign w:val="baseline"/>
                <w:lang w:val="en-US" w:eastAsia="zh-CN"/>
              </w:rPr>
              <w:t>RRM measurement prediction</w:t>
            </w:r>
          </w:p>
        </w:tc>
      </w:tr>
      <w:tr w14:paraId="3B01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continue"/>
            <w:vAlign w:val="center"/>
          </w:tcPr>
          <w:p w14:paraId="47C4A7C0">
            <w:pPr>
              <w:numPr>
                <w:ilvl w:val="0"/>
                <w:numId w:val="0"/>
              </w:numPr>
              <w:spacing w:after="180"/>
              <w:jc w:val="center"/>
              <w:rPr>
                <w:rFonts w:hint="default" w:ascii="Arial" w:hAnsi="Arial" w:eastAsia="宋体" w:cs="Arial"/>
                <w:sz w:val="21"/>
                <w:szCs w:val="22"/>
                <w:vertAlign w:val="baseline"/>
                <w:lang w:val="en-US" w:eastAsia="zh-CN"/>
              </w:rPr>
            </w:pPr>
          </w:p>
        </w:tc>
        <w:tc>
          <w:tcPr>
            <w:tcW w:w="2019" w:type="dxa"/>
            <w:vAlign w:val="center"/>
          </w:tcPr>
          <w:p w14:paraId="6B5C9BA9">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Direct prediction</w:t>
            </w:r>
          </w:p>
        </w:tc>
        <w:tc>
          <w:tcPr>
            <w:tcW w:w="1829" w:type="dxa"/>
            <w:vAlign w:val="center"/>
          </w:tcPr>
          <w:p w14:paraId="027BB058">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UE-sided model</w:t>
            </w:r>
          </w:p>
        </w:tc>
        <w:tc>
          <w:tcPr>
            <w:tcW w:w="4172" w:type="dxa"/>
            <w:vAlign w:val="center"/>
          </w:tcPr>
          <w:p w14:paraId="7FBC0973">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lang w:val="en-US" w:eastAsia="zh-CN"/>
              </w:rPr>
              <w:t>Temporal L3 cell level measurement results of serving cell and/or neighbor cells</w:t>
            </w:r>
          </w:p>
          <w:p w14:paraId="3D6A1631">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lang w:val="en-US" w:eastAsia="zh-CN"/>
              </w:rPr>
              <w:t>Measurement event configuration (e.g. offset, TTT)</w:t>
            </w:r>
          </w:p>
          <w:p w14:paraId="5D5065AE">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lang w:val="en-US" w:eastAsia="zh-CN"/>
              </w:rPr>
              <w:t>Occurrence time of measurement event</w:t>
            </w:r>
          </w:p>
        </w:tc>
      </w:tr>
    </w:tbl>
    <w:p w14:paraId="4968DE6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宋体" w:cs="Arial"/>
          <w:b/>
          <w:bCs/>
          <w:sz w:val="21"/>
          <w:szCs w:val="22"/>
          <w:lang w:val="en-US" w:eastAsia="zh-CN"/>
        </w:rPr>
      </w:pPr>
      <w:r>
        <w:rPr>
          <w:rFonts w:hint="eastAsia" w:ascii="Arial" w:hAnsi="Arial" w:eastAsia="等线" w:cs="Arial"/>
          <w:b/>
          <w:bCs/>
          <w:lang w:val="en-US" w:eastAsia="zh-CN"/>
        </w:rPr>
        <w:t xml:space="preserve">Proposal </w:t>
      </w:r>
      <w:r>
        <w:rPr>
          <w:rFonts w:hint="eastAsia" w:ascii="Arial" w:hAnsi="Arial" w:eastAsia="宋体" w:cs="Arial"/>
          <w:b/>
          <w:bCs/>
          <w:sz w:val="21"/>
          <w:szCs w:val="22"/>
          <w:lang w:val="en-US" w:eastAsia="zh-CN"/>
        </w:rPr>
        <w:t xml:space="preserve">16: </w:t>
      </w:r>
      <w:r>
        <w:rPr>
          <w:rFonts w:hint="eastAsia" w:ascii="Arial" w:hAnsi="Arial" w:eastAsia="等线" w:cs="Arial"/>
          <w:b/>
          <w:bCs/>
          <w:lang w:val="en-US" w:eastAsia="zh-CN"/>
        </w:rPr>
        <w:t>RAN2 takes Table 2 as starting point for model training data collection for measurement event prediction</w:t>
      </w:r>
      <w:r>
        <w:rPr>
          <w:rFonts w:hint="eastAsia" w:ascii="Arial" w:hAnsi="Arial" w:eastAsia="宋体" w:cs="Arial"/>
          <w:b/>
          <w:bCs/>
          <w:sz w:val="21"/>
          <w:szCs w:val="22"/>
          <w:lang w:val="en-US" w:eastAsia="zh-CN"/>
        </w:rPr>
        <w:t>.</w:t>
      </w:r>
    </w:p>
    <w:p w14:paraId="0355FE62">
      <w:pPr>
        <w:spacing w:before="120" w:beforeLines="50" w:after="120" w:line="240" w:lineRule="auto"/>
        <w:rPr>
          <w:rFonts w:hint="default" w:ascii="Arial" w:hAnsi="Arial" w:eastAsia="宋体" w:cs="Arial"/>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proposals on data collection for AI Mob</w:t>
      </w:r>
      <w:r>
        <w:rPr>
          <w:rFonts w:ascii="Arial" w:hAnsi="Arial" w:eastAsia="宋体" w:cs="Arial"/>
          <w:kern w:val="0"/>
          <w:sz w:val="20"/>
          <w:szCs w:val="20"/>
          <w:lang w:val="en-GB" w:eastAsia="en-US"/>
        </w:rPr>
        <w:t>.</w:t>
      </w:r>
    </w:p>
    <w:p w14:paraId="6099DF38">
      <w:pPr>
        <w:jc w:val="both"/>
        <w:rPr>
          <w:rFonts w:hint="eastAsia" w:ascii="Arial" w:hAnsi="Arial" w:eastAsia="等线" w:cs="Arial"/>
          <w:b/>
          <w:bCs/>
          <w:i/>
          <w:iCs/>
          <w:u w:val="single"/>
          <w:lang w:val="en-US" w:eastAsia="zh-CN"/>
        </w:rPr>
      </w:pPr>
      <w:r>
        <w:rPr>
          <w:rFonts w:hint="eastAsia" w:ascii="Arial" w:hAnsi="Arial" w:eastAsia="等线" w:cs="Arial"/>
          <w:b/>
          <w:bCs/>
          <w:i/>
          <w:iCs/>
          <w:u w:val="single"/>
          <w:lang w:val="en-US" w:eastAsia="zh-CN"/>
        </w:rPr>
        <w:t>NW-side d</w:t>
      </w:r>
      <w:r>
        <w:rPr>
          <w:rFonts w:hint="default" w:ascii="Arial" w:hAnsi="Arial" w:eastAsia="等线" w:cs="Arial"/>
          <w:b/>
          <w:bCs/>
          <w:i/>
          <w:iCs/>
          <w:u w:val="single"/>
          <w:lang w:val="en-US" w:eastAsia="zh-CN"/>
        </w:rPr>
        <w:t>ata collection</w:t>
      </w:r>
      <w:r>
        <w:rPr>
          <w:rFonts w:hint="eastAsia" w:ascii="Arial" w:hAnsi="Arial" w:eastAsia="等线" w:cs="Arial"/>
          <w:b/>
          <w:bCs/>
          <w:i/>
          <w:iCs/>
          <w:u w:val="single"/>
          <w:lang w:val="en-US" w:eastAsia="zh-CN"/>
        </w:rPr>
        <w:t xml:space="preserve"> procedure</w:t>
      </w:r>
    </w:p>
    <w:p w14:paraId="7FAFEACF">
      <w:pPr>
        <w:numPr>
          <w:ilvl w:val="0"/>
          <w:numId w:val="13"/>
        </w:numPr>
        <w:ind w:left="420" w:leftChars="0" w:hanging="420" w:firstLineChars="0"/>
        <w:jc w:val="both"/>
        <w:rPr>
          <w:rFonts w:hint="default" w:ascii="Arial" w:hAnsi="Arial" w:eastAsia="等线" w:cs="Arial"/>
          <w:b/>
          <w:bCs/>
          <w:i/>
          <w:iCs/>
          <w:u w:val="single"/>
          <w:lang w:val="en-US" w:eastAsia="zh-CN"/>
        </w:rPr>
      </w:pPr>
      <w:r>
        <w:rPr>
          <w:rFonts w:hint="eastAsia" w:ascii="Arial" w:hAnsi="Arial" w:eastAsia="等线" w:cs="Arial"/>
          <w:b/>
          <w:bCs/>
          <w:i/>
          <w:iCs/>
          <w:u w:val="single"/>
          <w:lang w:val="en-US" w:eastAsia="zh-CN"/>
        </w:rPr>
        <w:t>General</w:t>
      </w:r>
    </w:p>
    <w:p w14:paraId="61FF142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1: RAN2 to consider gNB-centric and OAM-centric approaches for NW-sided model training data collection for AI Mob, and aims to apply the same measurement framework for them. For OAM-centric approach, RAN2 takes immediate MDT as baseline. </w:t>
      </w:r>
    </w:p>
    <w:p w14:paraId="4172F28E">
      <w:pPr>
        <w:numPr>
          <w:ilvl w:val="0"/>
          <w:numId w:val="13"/>
        </w:numPr>
        <w:ind w:left="420" w:leftChars="0" w:hanging="420" w:firstLineChars="0"/>
        <w:jc w:val="both"/>
        <w:rPr>
          <w:rFonts w:hint="default" w:ascii="Arial" w:hAnsi="Arial" w:eastAsia="等线" w:cs="Arial"/>
          <w:b/>
          <w:bCs/>
          <w:i/>
          <w:iCs/>
          <w:u w:val="single"/>
          <w:lang w:val="en-US" w:eastAsia="zh-CN"/>
        </w:rPr>
      </w:pPr>
      <w:r>
        <w:rPr>
          <w:rFonts w:hint="eastAsia" w:ascii="Arial" w:hAnsi="Arial" w:eastAsia="等线" w:cs="Arial"/>
          <w:b/>
          <w:bCs/>
          <w:i/>
          <w:iCs/>
          <w:u w:val="single"/>
          <w:lang w:val="en-US" w:eastAsia="zh-CN"/>
        </w:rPr>
        <w:t>Logging</w:t>
      </w:r>
    </w:p>
    <w:p w14:paraId="5A28A17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2: Logging in RRC_CONNECTED mode is optionally supported for model training data collection for AI Mob.</w:t>
      </w:r>
    </w:p>
    <w:p w14:paraId="3C58720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Cs w:val="21"/>
          <w:highlight w:val="none"/>
          <w:lang w:val="en-US" w:eastAsia="zh-CN"/>
        </w:rPr>
      </w:pPr>
      <w:r>
        <w:rPr>
          <w:rFonts w:hint="eastAsia" w:ascii="Arial" w:hAnsi="Arial" w:cs="Arial"/>
          <w:b/>
          <w:bCs/>
          <w:sz w:val="21"/>
          <w:szCs w:val="21"/>
          <w:highlight w:val="none"/>
          <w:lang w:val="en-US" w:eastAsia="zh-CN"/>
        </w:rPr>
        <w:t xml:space="preserve">Proposal 3: </w:t>
      </w:r>
      <w:r>
        <w:rPr>
          <w:rFonts w:hint="eastAsia" w:ascii="Arial" w:hAnsi="Arial" w:cs="Arial"/>
          <w:b/>
          <w:bCs/>
          <w:szCs w:val="21"/>
          <w:highlight w:val="none"/>
          <w:lang w:eastAsia="zh-CN"/>
        </w:rPr>
        <w:t>P</w:t>
      </w:r>
      <w:r>
        <w:rPr>
          <w:rFonts w:hint="eastAsia" w:ascii="Arial" w:hAnsi="Arial" w:cs="Arial"/>
          <w:b/>
          <w:bCs/>
          <w:szCs w:val="21"/>
          <w:highlight w:val="none"/>
        </w:rPr>
        <w:t>eriodic</w:t>
      </w:r>
      <w:r>
        <w:rPr>
          <w:rFonts w:hint="eastAsia" w:ascii="Arial" w:hAnsi="Arial" w:cs="Arial"/>
          <w:b/>
          <w:bCs/>
          <w:szCs w:val="21"/>
          <w:highlight w:val="none"/>
          <w:lang w:val="en-US" w:eastAsia="zh-CN"/>
        </w:rPr>
        <w:t>al</w:t>
      </w:r>
      <w:r>
        <w:rPr>
          <w:rFonts w:hint="eastAsia" w:ascii="Arial" w:hAnsi="Arial" w:cs="Arial"/>
          <w:b/>
          <w:bCs/>
          <w:szCs w:val="21"/>
          <w:highlight w:val="none"/>
        </w:rPr>
        <w:t xml:space="preserve"> and L3 measurement event</w:t>
      </w:r>
      <w:r>
        <w:rPr>
          <w:rFonts w:hint="eastAsia" w:ascii="Arial" w:hAnsi="Arial" w:cs="Arial"/>
          <w:b/>
          <w:bCs/>
          <w:szCs w:val="21"/>
          <w:highlight w:val="none"/>
          <w:lang w:eastAsia="zh-CN"/>
        </w:rPr>
        <w:t xml:space="preserve"> </w:t>
      </w:r>
      <w:r>
        <w:rPr>
          <w:rFonts w:hint="eastAsia" w:ascii="Arial" w:hAnsi="Arial" w:cs="Arial"/>
          <w:b/>
          <w:bCs/>
          <w:szCs w:val="21"/>
          <w:highlight w:val="none"/>
        </w:rPr>
        <w:t>triggered logging</w:t>
      </w:r>
      <w:r>
        <w:rPr>
          <w:rFonts w:hint="eastAsia" w:ascii="Arial" w:hAnsi="Arial" w:cs="Arial"/>
          <w:b/>
          <w:bCs/>
          <w:szCs w:val="21"/>
          <w:highlight w:val="none"/>
          <w:lang w:val="en-US" w:eastAsia="zh-CN"/>
        </w:rPr>
        <w:t xml:space="preserve"> are supported for NW-side data collection for AI Mob.</w:t>
      </w:r>
    </w:p>
    <w:p w14:paraId="61CAC9F7">
      <w:pPr>
        <w:numPr>
          <w:ilvl w:val="0"/>
          <w:numId w:val="13"/>
        </w:numPr>
        <w:ind w:left="420" w:leftChars="0" w:hanging="420" w:firstLineChars="0"/>
        <w:jc w:val="both"/>
        <w:rPr>
          <w:rFonts w:hint="default" w:ascii="Arial" w:hAnsi="Arial" w:eastAsia="等线" w:cs="Arial"/>
          <w:b/>
          <w:bCs/>
          <w:i/>
          <w:iCs/>
          <w:u w:val="single"/>
          <w:lang w:val="en-US" w:eastAsia="zh-CN"/>
        </w:rPr>
      </w:pPr>
      <w:r>
        <w:rPr>
          <w:rFonts w:hint="eastAsia" w:ascii="Arial" w:hAnsi="Arial" w:cs="Arial"/>
          <w:b/>
          <w:bCs/>
          <w:i/>
          <w:iCs/>
          <w:sz w:val="21"/>
          <w:szCs w:val="21"/>
          <w:highlight w:val="none"/>
          <w:u w:val="single"/>
          <w:lang w:val="en-US" w:eastAsia="zh-CN"/>
        </w:rPr>
        <w:t>Data collection configuration</w:t>
      </w:r>
    </w:p>
    <w:p w14:paraId="0A498AD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4: For AI Mob, the data collection configuration can include the configurations for RRM measurement and/or measurement event.</w:t>
      </w:r>
    </w:p>
    <w:p w14:paraId="16FD279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5: The data collection configuration can include the measurement resources and logging information, e.g. periodicity, triggered event and RS type.</w:t>
      </w:r>
    </w:p>
    <w:p w14:paraId="12CC9734">
      <w:pPr>
        <w:numPr>
          <w:ilvl w:val="0"/>
          <w:numId w:val="13"/>
        </w:numPr>
        <w:ind w:left="420" w:leftChars="0" w:hanging="420" w:firstLineChars="0"/>
        <w:jc w:val="both"/>
        <w:rPr>
          <w:rFonts w:hint="eastAsia" w:ascii="Arial" w:hAnsi="Arial" w:cs="Arial"/>
          <w:b/>
          <w:bCs/>
          <w:sz w:val="21"/>
          <w:szCs w:val="21"/>
          <w:highlight w:val="none"/>
          <w:lang w:val="en-US" w:eastAsia="zh-CN"/>
        </w:rPr>
      </w:pPr>
      <w:r>
        <w:rPr>
          <w:rFonts w:hint="eastAsia" w:ascii="Arial" w:hAnsi="Arial" w:cs="Arial"/>
          <w:b/>
          <w:bCs/>
          <w:i/>
          <w:iCs/>
          <w:sz w:val="21"/>
          <w:szCs w:val="21"/>
          <w:highlight w:val="none"/>
          <w:u w:val="single"/>
          <w:lang w:val="en-US" w:eastAsia="zh-CN"/>
        </w:rPr>
        <w:t>Availability indication</w:t>
      </w:r>
    </w:p>
    <w:p w14:paraId="59D4296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6: When availability indication is triggered due to full buffer being reached, buffer threshold being reached or low power, the UE sends the UAI including data availability indication and/or cause value (reason for trigger, low power indication) to the network. </w:t>
      </w:r>
    </w:p>
    <w:p w14:paraId="466F855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7: When the buffer is full, the UE can stop data collection.</w:t>
      </w:r>
    </w:p>
    <w:p w14:paraId="303EC80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sz w:val="21"/>
          <w:szCs w:val="21"/>
          <w:highlight w:val="none"/>
          <w:lang w:val="en-US" w:eastAsia="zh-CN"/>
        </w:rPr>
      </w:pPr>
      <w:r>
        <w:rPr>
          <w:rFonts w:hint="eastAsia" w:ascii="Arial" w:hAnsi="Arial" w:cs="Arial"/>
          <w:b/>
          <w:bCs/>
          <w:sz w:val="21"/>
          <w:szCs w:val="21"/>
          <w:highlight w:val="none"/>
          <w:lang w:val="en-US" w:eastAsia="zh-CN"/>
        </w:rPr>
        <w:t>Proposal 8: the UE will not autonomously stop when low power state is detected until the network releases the configuration</w:t>
      </w:r>
      <w:r>
        <w:rPr>
          <w:rFonts w:hint="eastAsia" w:ascii="Arial" w:hAnsi="Arial" w:cs="Arial"/>
          <w:sz w:val="21"/>
          <w:szCs w:val="21"/>
          <w:highlight w:val="none"/>
          <w:lang w:val="en-US" w:eastAsia="zh-CN"/>
        </w:rPr>
        <w:t>.</w:t>
      </w:r>
    </w:p>
    <w:p w14:paraId="59DF95F7">
      <w:pPr>
        <w:numPr>
          <w:ilvl w:val="0"/>
          <w:numId w:val="13"/>
        </w:numPr>
        <w:ind w:left="420" w:leftChars="0" w:hanging="420" w:firstLineChars="0"/>
        <w:jc w:val="both"/>
        <w:rPr>
          <w:rFonts w:hint="default" w:ascii="Arial" w:hAnsi="Arial" w:cs="Arial"/>
          <w:b/>
          <w:bCs/>
          <w:sz w:val="21"/>
          <w:szCs w:val="21"/>
          <w:highlight w:val="none"/>
          <w:lang w:val="en-US" w:eastAsia="zh-CN"/>
        </w:rPr>
      </w:pPr>
      <w:r>
        <w:rPr>
          <w:rFonts w:hint="eastAsia" w:ascii="Arial" w:hAnsi="Arial" w:cs="Arial"/>
          <w:b/>
          <w:bCs/>
          <w:i/>
          <w:iCs/>
          <w:sz w:val="21"/>
          <w:szCs w:val="21"/>
          <w:highlight w:val="none"/>
          <w:u w:val="single"/>
          <w:lang w:val="en-US" w:eastAsia="zh-CN"/>
        </w:rPr>
        <w:t>Data retrieval</w:t>
      </w:r>
    </w:p>
    <w:p w14:paraId="72EA84E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9: </w:t>
      </w:r>
      <w:r>
        <w:rPr>
          <w:rFonts w:hint="eastAsia" w:ascii="Arial" w:hAnsi="Arial" w:cs="Arial"/>
          <w:b/>
          <w:bCs/>
          <w:i/>
          <w:iCs/>
          <w:sz w:val="21"/>
          <w:szCs w:val="21"/>
          <w:highlight w:val="none"/>
          <w:lang w:val="en-US" w:eastAsia="zh-CN"/>
        </w:rPr>
        <w:t xml:space="preserve">UEInformationRequest </w:t>
      </w:r>
      <w:r>
        <w:rPr>
          <w:rFonts w:hint="eastAsia" w:ascii="Arial" w:hAnsi="Arial" w:cs="Arial"/>
          <w:b/>
          <w:bCs/>
          <w:sz w:val="21"/>
          <w:szCs w:val="21"/>
          <w:highlight w:val="none"/>
          <w:lang w:val="en-US" w:eastAsia="zh-CN"/>
        </w:rPr>
        <w:t xml:space="preserve">and </w:t>
      </w:r>
      <w:r>
        <w:rPr>
          <w:rFonts w:hint="eastAsia" w:ascii="Arial" w:hAnsi="Arial" w:cs="Arial"/>
          <w:b/>
          <w:bCs/>
          <w:i/>
          <w:iCs/>
          <w:sz w:val="21"/>
          <w:szCs w:val="21"/>
          <w:highlight w:val="none"/>
          <w:lang w:val="en-US" w:eastAsia="zh-CN"/>
        </w:rPr>
        <w:t xml:space="preserve">UEInformationResponse </w:t>
      </w:r>
      <w:r>
        <w:rPr>
          <w:rFonts w:hint="eastAsia" w:ascii="Arial" w:hAnsi="Arial" w:cs="Arial"/>
          <w:b/>
          <w:bCs/>
          <w:sz w:val="21"/>
          <w:szCs w:val="21"/>
          <w:highlight w:val="none"/>
          <w:lang w:val="en-US" w:eastAsia="zh-CN"/>
        </w:rPr>
        <w:t xml:space="preserve">are used for on-demand reporting of AI/ML training data collection. </w:t>
      </w:r>
    </w:p>
    <w:p w14:paraId="5A3AE01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 xml:space="preserve">Proposal 10: </w:t>
      </w:r>
      <w:r>
        <w:rPr>
          <w:rFonts w:hint="eastAsia" w:ascii="Arial" w:hAnsi="Arial" w:cs="Arial"/>
          <w:b/>
          <w:bCs/>
          <w:i/>
          <w:iCs/>
          <w:sz w:val="21"/>
          <w:szCs w:val="21"/>
          <w:highlight w:val="none"/>
          <w:lang w:val="en-US" w:eastAsia="zh-CN"/>
        </w:rPr>
        <w:t xml:space="preserve">UEInformationResponse </w:t>
      </w:r>
      <w:r>
        <w:rPr>
          <w:rFonts w:hint="eastAsia" w:ascii="Arial" w:hAnsi="Arial" w:cs="Arial"/>
          <w:b/>
          <w:bCs/>
          <w:sz w:val="21"/>
          <w:szCs w:val="21"/>
          <w:highlight w:val="none"/>
          <w:lang w:val="en-US" w:eastAsia="zh-CN"/>
        </w:rPr>
        <w:t>contains one or more logged measurement entries in chronological order (i.e. starting from the oldest measurement entries stored in the UE memory), and an availability indication if there are further data available for transmission.</w:t>
      </w:r>
    </w:p>
    <w:p w14:paraId="30D8B60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cs="Arial"/>
          <w:b/>
          <w:bCs/>
          <w:sz w:val="21"/>
          <w:szCs w:val="21"/>
          <w:highlight w:val="none"/>
          <w:lang w:val="en-US" w:eastAsia="zh-CN"/>
        </w:rPr>
      </w:pPr>
      <w:r>
        <w:rPr>
          <w:rFonts w:hint="eastAsia" w:ascii="Arial" w:hAnsi="Arial" w:cs="Arial"/>
          <w:b/>
          <w:bCs/>
          <w:sz w:val="21"/>
          <w:szCs w:val="21"/>
          <w:highlight w:val="none"/>
          <w:lang w:val="en-US" w:eastAsia="zh-CN"/>
        </w:rPr>
        <w:t>Proposal 11: A new SRB with lower priority introduced in AI/ML PHY is also used for NW-side data collection in AI Mob.</w:t>
      </w:r>
    </w:p>
    <w:p w14:paraId="23D60888">
      <w:pPr>
        <w:numPr>
          <w:ilvl w:val="0"/>
          <w:numId w:val="13"/>
        </w:numPr>
        <w:ind w:left="420" w:leftChars="0" w:hanging="420" w:firstLineChars="0"/>
        <w:jc w:val="both"/>
        <w:rPr>
          <w:rFonts w:hint="default" w:ascii="Arial" w:hAnsi="Arial" w:cs="Arial"/>
          <w:b/>
          <w:bCs/>
          <w:sz w:val="21"/>
          <w:szCs w:val="21"/>
          <w:highlight w:val="none"/>
          <w:lang w:val="en-US" w:eastAsia="zh-CN"/>
        </w:rPr>
      </w:pPr>
      <w:r>
        <w:rPr>
          <w:rFonts w:hint="eastAsia" w:ascii="Arial" w:hAnsi="Arial" w:eastAsia="等线" w:cs="Arial"/>
          <w:b/>
          <w:bCs/>
          <w:i/>
          <w:iCs/>
          <w:sz w:val="21"/>
          <w:szCs w:val="21"/>
          <w:u w:val="single"/>
          <w:lang w:val="en-US" w:eastAsia="zh-CN"/>
        </w:rPr>
        <w:t xml:space="preserve">Basic </w:t>
      </w:r>
      <w:r>
        <w:rPr>
          <w:rFonts w:hint="eastAsia" w:ascii="Arial" w:hAnsi="Arial" w:cs="Arial"/>
          <w:b/>
          <w:bCs/>
          <w:i/>
          <w:iCs/>
          <w:sz w:val="21"/>
          <w:szCs w:val="21"/>
          <w:highlight w:val="none"/>
          <w:u w:val="single"/>
          <w:lang w:val="en-US" w:eastAsia="zh-CN"/>
        </w:rPr>
        <w:t>flow</w:t>
      </w:r>
    </w:p>
    <w:p w14:paraId="582CFE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val="0"/>
          <w:sz w:val="20"/>
          <w:szCs w:val="21"/>
          <w:lang w:val="en-US" w:eastAsia="zh-CN"/>
        </w:rPr>
      </w:pPr>
      <w:r>
        <w:rPr>
          <w:rFonts w:hint="eastAsia" w:ascii="Arial" w:hAnsi="Arial" w:eastAsia="等线" w:cs="Arial"/>
          <w:b/>
          <w:bCs/>
          <w:lang w:val="en-US" w:eastAsia="zh-CN"/>
        </w:rPr>
        <w:t>Proposal 12: RAN2 takes the Figure.1 as baseline for NW-side data collection procedure.</w:t>
      </w:r>
    </w:p>
    <w:p w14:paraId="5A9F09F9">
      <w:pPr>
        <w:jc w:val="both"/>
        <w:rPr>
          <w:rFonts w:hint="eastAsia" w:ascii="Arial" w:hAnsi="Arial" w:eastAsia="等线" w:cs="Arial"/>
          <w:b/>
          <w:bCs/>
          <w:i/>
          <w:iCs/>
          <w:u w:val="single"/>
          <w:lang w:val="en-US" w:eastAsia="zh-CN"/>
        </w:rPr>
      </w:pPr>
    </w:p>
    <w:p w14:paraId="22446FFB">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UE-side d</w:t>
      </w:r>
      <w:r>
        <w:rPr>
          <w:rFonts w:hint="default" w:ascii="Arial" w:hAnsi="Arial" w:eastAsia="等线" w:cs="Arial"/>
          <w:b/>
          <w:bCs/>
          <w:i/>
          <w:iCs/>
          <w:u w:val="single"/>
          <w:lang w:val="en-US" w:eastAsia="zh-CN"/>
        </w:rPr>
        <w:t>ata collection</w:t>
      </w:r>
      <w:r>
        <w:rPr>
          <w:rFonts w:hint="eastAsia" w:ascii="Arial" w:hAnsi="Arial" w:eastAsia="等线" w:cs="Arial"/>
          <w:b/>
          <w:bCs/>
          <w:i/>
          <w:iCs/>
          <w:u w:val="single"/>
          <w:lang w:val="en-US" w:eastAsia="zh-CN"/>
        </w:rPr>
        <w:t xml:space="preserve"> procedure</w:t>
      </w:r>
    </w:p>
    <w:p w14:paraId="5CFB492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13: The network can provide or release the data collection configuration with or without UE request for UE-side data collection. </w:t>
      </w:r>
    </w:p>
    <w:p w14:paraId="568F407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b/>
          <w:bCs w:val="0"/>
          <w:sz w:val="20"/>
          <w:szCs w:val="21"/>
          <w:lang w:val="en-US" w:eastAsia="zh-CN"/>
        </w:rPr>
      </w:pPr>
      <w:r>
        <w:rPr>
          <w:rFonts w:hint="eastAsia" w:ascii="Arial" w:hAnsi="Arial" w:eastAsia="等线" w:cs="Arial"/>
          <w:b/>
          <w:bCs/>
          <w:lang w:val="en-US" w:eastAsia="zh-CN"/>
        </w:rPr>
        <w:t>Proposal 14: The UE can send UAI message to the network for request of data collection measurement configuration, including an indication on start/stop of data collection, preferred configuration from a list of candidate configurations provided by NW.</w:t>
      </w:r>
    </w:p>
    <w:p w14:paraId="56DFECAE">
      <w:pPr>
        <w:jc w:val="both"/>
        <w:rPr>
          <w:rFonts w:hint="eastAsia" w:ascii="Arial" w:hAnsi="Arial" w:eastAsia="等线" w:cs="Arial"/>
          <w:b/>
          <w:bCs/>
          <w:i/>
          <w:iCs/>
          <w:u w:val="single"/>
          <w:lang w:val="en-US" w:eastAsia="zh-CN"/>
        </w:rPr>
      </w:pPr>
    </w:p>
    <w:p w14:paraId="2ECD5BAE">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Data content for RRM measurement prediction</w:t>
      </w:r>
    </w:p>
    <w:p w14:paraId="243BABE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Observation 1: For temporal domain prediction, L1 beam level, L3 beam/cell level results, and time info are needed for model training, while the details can be different per sub-use case.</w:t>
      </w:r>
    </w:p>
    <w:p w14:paraId="49FD8D3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b/>
          <w:bCs/>
          <w:lang w:val="en-US" w:eastAsia="zh-CN"/>
        </w:rPr>
        <w:t>Observation 2: OW length, PW length and MRRT are not necessary for model training data collection, which can be up to implementation.</w:t>
      </w:r>
    </w:p>
    <w:p w14:paraId="0AEC924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Observation 3: For frequency domain prediction, in addition to beam/cell level results, frequency info is needed.</w:t>
      </w:r>
    </w:p>
    <w:p w14:paraId="2C82151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Observation 4: UE speed is needed for intra-frequency temporal domain prediction, while it is not necessary for inter-frequency prediction.</w:t>
      </w:r>
    </w:p>
    <w:p w14:paraId="4B82554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eastAsia="等线"/>
          <w:b/>
          <w:bCs/>
          <w:lang w:val="en-US" w:eastAsia="zh-CN"/>
        </w:rPr>
      </w:pPr>
      <w:r>
        <w:rPr>
          <w:rFonts w:hint="eastAsia" w:ascii="Arial" w:hAnsi="Arial" w:eastAsia="等线" w:cs="Arial"/>
          <w:b/>
          <w:bCs/>
          <w:lang w:val="en-US" w:eastAsia="zh-CN"/>
        </w:rPr>
        <w:t>Proposal 15: RAN2 takes Table 1 as starting point for model training data collection for RRM measurement prediction.</w:t>
      </w:r>
      <w:bookmarkStart w:id="0" w:name="_GoBack"/>
      <w:bookmarkEnd w:id="0"/>
    </w:p>
    <w:p w14:paraId="4A94617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lang w:val="en-US" w:eastAsia="zh-CN"/>
        </w:rPr>
      </w:pPr>
      <w:r>
        <w:rPr>
          <w:rFonts w:hint="eastAsia" w:ascii="Arial" w:hAnsi="Arial" w:eastAsia="等线" w:cs="Arial"/>
          <w:b/>
          <w:bCs/>
          <w:sz w:val="21"/>
          <w:szCs w:val="22"/>
          <w:lang w:val="en-US" w:eastAsia="zh-CN"/>
        </w:rPr>
        <w:t>Table 1. Data content for model training for RRM measurement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6"/>
        <w:gridCol w:w="1974"/>
        <w:gridCol w:w="1631"/>
        <w:gridCol w:w="1813"/>
        <w:gridCol w:w="2711"/>
      </w:tblGrid>
      <w:tr w14:paraId="5F9D2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Align w:val="center"/>
          </w:tcPr>
          <w:p w14:paraId="544C2272">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LCM purpose</w:t>
            </w:r>
          </w:p>
        </w:tc>
        <w:tc>
          <w:tcPr>
            <w:tcW w:w="1974" w:type="dxa"/>
            <w:vAlign w:val="center"/>
          </w:tcPr>
          <w:p w14:paraId="4AC48529">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Prediction domain</w:t>
            </w:r>
          </w:p>
        </w:tc>
        <w:tc>
          <w:tcPr>
            <w:tcW w:w="1631" w:type="dxa"/>
            <w:vAlign w:val="center"/>
          </w:tcPr>
          <w:p w14:paraId="0F7538E6">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Sub-use case</w:t>
            </w:r>
          </w:p>
        </w:tc>
        <w:tc>
          <w:tcPr>
            <w:tcW w:w="1813" w:type="dxa"/>
            <w:vAlign w:val="center"/>
          </w:tcPr>
          <w:p w14:paraId="79C5DC21">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Model type</w:t>
            </w:r>
          </w:p>
        </w:tc>
        <w:tc>
          <w:tcPr>
            <w:tcW w:w="2711" w:type="dxa"/>
            <w:vAlign w:val="center"/>
          </w:tcPr>
          <w:p w14:paraId="65460420">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vertAlign w:val="baseline"/>
                <w:lang w:val="en-US" w:eastAsia="zh-CN"/>
              </w:rPr>
            </w:pPr>
            <w:r>
              <w:rPr>
                <w:rFonts w:hint="eastAsia" w:ascii="Arial" w:hAnsi="Arial" w:eastAsia="等线" w:cs="Arial"/>
                <w:b/>
                <w:bCs/>
                <w:vertAlign w:val="baseline"/>
                <w:lang w:val="en-US" w:eastAsia="zh-CN"/>
              </w:rPr>
              <w:t>Data content</w:t>
            </w:r>
          </w:p>
        </w:tc>
      </w:tr>
      <w:tr w14:paraId="324D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restart"/>
            <w:vAlign w:val="center"/>
          </w:tcPr>
          <w:p w14:paraId="2887E778">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Model training</w:t>
            </w:r>
          </w:p>
        </w:tc>
        <w:tc>
          <w:tcPr>
            <w:tcW w:w="1974" w:type="dxa"/>
            <w:vMerge w:val="restart"/>
            <w:vAlign w:val="center"/>
          </w:tcPr>
          <w:p w14:paraId="23C1F409">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Temporal domain</w:t>
            </w:r>
          </w:p>
        </w:tc>
        <w:tc>
          <w:tcPr>
            <w:tcW w:w="1631" w:type="dxa"/>
            <w:vAlign w:val="center"/>
          </w:tcPr>
          <w:p w14:paraId="065C0BF2">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1</w:t>
            </w:r>
          </w:p>
        </w:tc>
        <w:tc>
          <w:tcPr>
            <w:tcW w:w="1813" w:type="dxa"/>
            <w:vAlign w:val="center"/>
          </w:tcPr>
          <w:p w14:paraId="468D010D">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eastAsia" w:ascii="Arial" w:hAnsi="Arial" w:eastAsia="等线" w:cs="Arial"/>
                <w:vertAlign w:val="baseline"/>
                <w:lang w:val="en-US" w:eastAsia="zh-CN"/>
              </w:rPr>
            </w:pPr>
            <w:r>
              <w:rPr>
                <w:rFonts w:hint="eastAsia" w:ascii="Arial" w:hAnsi="Arial" w:eastAsia="等线" w:cs="Arial"/>
                <w:vertAlign w:val="baseline"/>
                <w:lang w:val="en-US" w:eastAsia="zh-CN"/>
              </w:rPr>
              <w:t>UE-sided model,</w:t>
            </w:r>
          </w:p>
          <w:p w14:paraId="09B7AAA4">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NW-sided model</w:t>
            </w:r>
          </w:p>
        </w:tc>
        <w:tc>
          <w:tcPr>
            <w:tcW w:w="2711" w:type="dxa"/>
            <w:vAlign w:val="center"/>
          </w:tcPr>
          <w:p w14:paraId="04CAB804">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L1 beam level results and/or beam ID</w:t>
            </w:r>
          </w:p>
          <w:p w14:paraId="47F6DC49">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1F563621">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lang w:val="en-US" w:eastAsia="zh-CN"/>
              </w:rPr>
            </w:pPr>
            <w:r>
              <w:rPr>
                <w:rFonts w:hint="eastAsia" w:ascii="Arial" w:hAnsi="Arial" w:eastAsia="等线" w:cs="Arial"/>
                <w:lang w:val="en-US" w:eastAsia="zh-CN"/>
              </w:rPr>
              <w:t>UE speed</w:t>
            </w:r>
          </w:p>
          <w:p w14:paraId="2B41A9C8">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lang w:val="en-US" w:eastAsia="zh-CN"/>
              </w:rPr>
            </w:pPr>
            <w:r>
              <w:rPr>
                <w:rFonts w:hint="eastAsia" w:ascii="Arial" w:hAnsi="Arial" w:eastAsia="等线" w:cs="Arial"/>
                <w:lang w:val="en-US" w:eastAsia="zh-CN"/>
              </w:rPr>
              <w:t>Time info</w:t>
            </w:r>
          </w:p>
        </w:tc>
      </w:tr>
      <w:tr w14:paraId="53CE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7719524E">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continue"/>
            <w:vAlign w:val="center"/>
          </w:tcPr>
          <w:p w14:paraId="3550F024">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631" w:type="dxa"/>
            <w:vAlign w:val="center"/>
          </w:tcPr>
          <w:p w14:paraId="4073D5A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2</w:t>
            </w:r>
          </w:p>
        </w:tc>
        <w:tc>
          <w:tcPr>
            <w:tcW w:w="1813" w:type="dxa"/>
            <w:vAlign w:val="center"/>
          </w:tcPr>
          <w:p w14:paraId="0F1DD040">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260CA681">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 xml:space="preserve">L3 cell level results, or L3 beam level results </w:t>
            </w:r>
          </w:p>
          <w:p w14:paraId="3101E4FB">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03A2A680">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UE speed</w:t>
            </w:r>
          </w:p>
          <w:p w14:paraId="5F2E4CCE">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Time info</w:t>
            </w:r>
          </w:p>
        </w:tc>
      </w:tr>
      <w:tr w14:paraId="69FF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7AE5B30E">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continue"/>
            <w:vAlign w:val="center"/>
          </w:tcPr>
          <w:p w14:paraId="5A55B2CB">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631" w:type="dxa"/>
            <w:vAlign w:val="center"/>
          </w:tcPr>
          <w:p w14:paraId="3936AEFD">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3</w:t>
            </w:r>
          </w:p>
        </w:tc>
        <w:tc>
          <w:tcPr>
            <w:tcW w:w="1813" w:type="dxa"/>
            <w:vAlign w:val="center"/>
          </w:tcPr>
          <w:p w14:paraId="2329E02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70FC642A">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L1 beam level results and/or beam ID</w:t>
            </w:r>
          </w:p>
          <w:p w14:paraId="559F869C">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L3 cell level results, or L3 beam level results</w:t>
            </w:r>
          </w:p>
          <w:p w14:paraId="5A614A8B">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6E0E03C0">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lang w:val="en-US" w:eastAsia="zh-CN"/>
              </w:rPr>
            </w:pPr>
            <w:r>
              <w:rPr>
                <w:rFonts w:hint="eastAsia" w:ascii="Arial" w:hAnsi="Arial" w:eastAsia="等线" w:cs="Arial"/>
                <w:lang w:val="en-US" w:eastAsia="zh-CN"/>
              </w:rPr>
              <w:t>UE speed</w:t>
            </w:r>
          </w:p>
          <w:p w14:paraId="4D17B0EA">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Time info</w:t>
            </w:r>
          </w:p>
        </w:tc>
      </w:tr>
      <w:tr w14:paraId="00431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3D0AA4F4">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restart"/>
            <w:vAlign w:val="center"/>
          </w:tcPr>
          <w:p w14:paraId="0A10B84D">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Frequency domain</w:t>
            </w:r>
          </w:p>
        </w:tc>
        <w:tc>
          <w:tcPr>
            <w:tcW w:w="1631" w:type="dxa"/>
            <w:vAlign w:val="center"/>
          </w:tcPr>
          <w:p w14:paraId="56014622">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1</w:t>
            </w:r>
          </w:p>
        </w:tc>
        <w:tc>
          <w:tcPr>
            <w:tcW w:w="1813" w:type="dxa"/>
            <w:vAlign w:val="center"/>
          </w:tcPr>
          <w:p w14:paraId="21AEB165">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0AF558F0">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L1 beam level results and/or beam ID</w:t>
            </w:r>
          </w:p>
          <w:p w14:paraId="79597942">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4F70421B">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Frequency info</w:t>
            </w:r>
          </w:p>
        </w:tc>
      </w:tr>
      <w:tr w14:paraId="6740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0FC9E9DC">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continue"/>
            <w:vAlign w:val="center"/>
          </w:tcPr>
          <w:p w14:paraId="078B2771">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631" w:type="dxa"/>
            <w:vAlign w:val="center"/>
          </w:tcPr>
          <w:p w14:paraId="06B1E5F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2</w:t>
            </w:r>
          </w:p>
        </w:tc>
        <w:tc>
          <w:tcPr>
            <w:tcW w:w="1813" w:type="dxa"/>
            <w:vAlign w:val="center"/>
          </w:tcPr>
          <w:p w14:paraId="66AFB7E0">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7A40E680">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 xml:space="preserve">L3 cell level results, or L3 beam level results </w:t>
            </w:r>
          </w:p>
          <w:p w14:paraId="2E57981F">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4F866454">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Frequency info</w:t>
            </w:r>
          </w:p>
        </w:tc>
      </w:tr>
      <w:tr w14:paraId="1C01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6" w:type="dxa"/>
            <w:vMerge w:val="continue"/>
            <w:vAlign w:val="center"/>
          </w:tcPr>
          <w:p w14:paraId="019B6FA5">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974" w:type="dxa"/>
            <w:vMerge w:val="continue"/>
            <w:vAlign w:val="center"/>
          </w:tcPr>
          <w:p w14:paraId="1CAD41A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p>
        </w:tc>
        <w:tc>
          <w:tcPr>
            <w:tcW w:w="1631" w:type="dxa"/>
            <w:vAlign w:val="center"/>
          </w:tcPr>
          <w:p w14:paraId="6B04F35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Case 3</w:t>
            </w:r>
          </w:p>
        </w:tc>
        <w:tc>
          <w:tcPr>
            <w:tcW w:w="1813" w:type="dxa"/>
            <w:vAlign w:val="center"/>
          </w:tcPr>
          <w:p w14:paraId="4E20E173">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vertAlign w:val="baseline"/>
                <w:lang w:val="en-US" w:eastAsia="zh-CN"/>
              </w:rPr>
            </w:pPr>
            <w:r>
              <w:rPr>
                <w:rFonts w:hint="eastAsia" w:ascii="Arial" w:hAnsi="Arial" w:eastAsia="等线" w:cs="Arial"/>
                <w:vertAlign w:val="baseline"/>
                <w:lang w:val="en-US" w:eastAsia="zh-CN"/>
              </w:rPr>
              <w:t>UE-sided model, NW-sided model</w:t>
            </w:r>
          </w:p>
        </w:tc>
        <w:tc>
          <w:tcPr>
            <w:tcW w:w="2711" w:type="dxa"/>
            <w:vAlign w:val="center"/>
          </w:tcPr>
          <w:p w14:paraId="61E7A036">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L1 beam level results and/or beam ID</w:t>
            </w:r>
          </w:p>
          <w:p w14:paraId="757BA82D">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L3 cell level results, or L3 beam level results</w:t>
            </w:r>
          </w:p>
          <w:p w14:paraId="374E0C96">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eastAsia" w:ascii="Arial" w:hAnsi="Arial" w:eastAsia="等线" w:cs="Arial"/>
                <w:lang w:val="en-US" w:eastAsia="zh-CN"/>
              </w:rPr>
            </w:pPr>
            <w:r>
              <w:rPr>
                <w:rFonts w:hint="eastAsia" w:ascii="Arial" w:hAnsi="Arial" w:eastAsia="等线" w:cs="Arial"/>
                <w:lang w:val="en-US" w:eastAsia="zh-CN"/>
              </w:rPr>
              <w:t>Cell ID (e.g. for cluster-based)</w:t>
            </w:r>
          </w:p>
          <w:p w14:paraId="313F09FD">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等线" w:cs="Arial"/>
                <w:vertAlign w:val="baseline"/>
                <w:lang w:val="en-US" w:eastAsia="zh-CN"/>
              </w:rPr>
            </w:pPr>
            <w:r>
              <w:rPr>
                <w:rFonts w:hint="eastAsia" w:ascii="Arial" w:hAnsi="Arial" w:eastAsia="等线" w:cs="Arial"/>
                <w:lang w:val="en-US" w:eastAsia="zh-CN"/>
              </w:rPr>
              <w:t>Frequency info</w:t>
            </w:r>
          </w:p>
        </w:tc>
      </w:tr>
    </w:tbl>
    <w:p w14:paraId="0A24A4C7">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cs="Arial"/>
          <w:b/>
          <w:bCs w:val="0"/>
          <w:sz w:val="20"/>
          <w:szCs w:val="21"/>
          <w:lang w:val="en-US" w:eastAsia="zh-CN"/>
        </w:rPr>
      </w:pPr>
    </w:p>
    <w:p w14:paraId="11C6278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Data content for measurement event prediction</w:t>
      </w:r>
    </w:p>
    <w:p w14:paraId="6A503C6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宋体" w:cs="Arial"/>
          <w:b/>
          <w:bCs/>
          <w:sz w:val="21"/>
          <w:szCs w:val="22"/>
          <w:lang w:val="en-US" w:eastAsia="zh-CN"/>
        </w:rPr>
      </w:pPr>
      <w:r>
        <w:rPr>
          <w:rFonts w:hint="eastAsia" w:ascii="Arial" w:hAnsi="Arial" w:eastAsia="等线" w:cs="Arial"/>
          <w:b/>
          <w:bCs/>
          <w:lang w:val="en-US" w:eastAsia="zh-CN"/>
        </w:rPr>
        <w:t xml:space="preserve">Proposal </w:t>
      </w:r>
      <w:r>
        <w:rPr>
          <w:rFonts w:hint="eastAsia" w:ascii="Arial" w:hAnsi="Arial" w:eastAsia="宋体" w:cs="Arial"/>
          <w:b/>
          <w:bCs/>
          <w:sz w:val="21"/>
          <w:szCs w:val="22"/>
          <w:lang w:val="en-US" w:eastAsia="zh-CN"/>
        </w:rPr>
        <w:t xml:space="preserve">16: </w:t>
      </w:r>
      <w:r>
        <w:rPr>
          <w:rFonts w:hint="eastAsia" w:ascii="Arial" w:hAnsi="Arial" w:eastAsia="等线" w:cs="Arial"/>
          <w:b/>
          <w:bCs/>
          <w:lang w:val="en-US" w:eastAsia="zh-CN"/>
        </w:rPr>
        <w:t>RAN2 takes Table 2 as starting point for model training data collection for measurement event prediction</w:t>
      </w:r>
      <w:r>
        <w:rPr>
          <w:rFonts w:hint="eastAsia" w:ascii="Arial" w:hAnsi="Arial" w:eastAsia="宋体" w:cs="Arial"/>
          <w:b/>
          <w:bCs/>
          <w:sz w:val="21"/>
          <w:szCs w:val="22"/>
          <w:lang w:val="en-US" w:eastAsia="zh-CN"/>
        </w:rPr>
        <w:t>.</w:t>
      </w:r>
    </w:p>
    <w:p w14:paraId="31D6AFB0">
      <w:pPr>
        <w:numPr>
          <w:ilvl w:val="0"/>
          <w:numId w:val="0"/>
        </w:numPr>
        <w:spacing w:after="180"/>
        <w:ind w:leftChars="0"/>
        <w:jc w:val="center"/>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Table 2. </w:t>
      </w:r>
      <w:r>
        <w:rPr>
          <w:rFonts w:hint="eastAsia" w:ascii="Arial" w:hAnsi="Arial" w:eastAsia="等线" w:cs="Arial"/>
          <w:b/>
          <w:bCs/>
          <w:sz w:val="21"/>
          <w:szCs w:val="22"/>
          <w:lang w:val="en-US" w:eastAsia="zh-CN"/>
        </w:rPr>
        <w:t>Data content for model training for measurement event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2019"/>
        <w:gridCol w:w="1829"/>
        <w:gridCol w:w="4172"/>
      </w:tblGrid>
      <w:tr w14:paraId="0A50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shd w:val="clear" w:color="auto" w:fill="auto"/>
            <w:vAlign w:val="center"/>
          </w:tcPr>
          <w:p w14:paraId="36B2DBCB">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kern w:val="2"/>
                <w:sz w:val="21"/>
                <w:szCs w:val="22"/>
                <w:vertAlign w:val="baseline"/>
                <w:lang w:val="en-US" w:eastAsia="zh-CN" w:bidi="ar-SA"/>
              </w:rPr>
            </w:pPr>
            <w:r>
              <w:rPr>
                <w:rFonts w:hint="eastAsia" w:ascii="Arial" w:hAnsi="Arial" w:eastAsia="等线" w:cs="Arial"/>
                <w:b/>
                <w:bCs/>
                <w:vertAlign w:val="baseline"/>
                <w:lang w:val="en-US" w:eastAsia="zh-CN"/>
              </w:rPr>
              <w:t>LCM purpose</w:t>
            </w:r>
          </w:p>
        </w:tc>
        <w:tc>
          <w:tcPr>
            <w:tcW w:w="2019" w:type="dxa"/>
            <w:shd w:val="clear" w:color="auto" w:fill="auto"/>
            <w:vAlign w:val="center"/>
          </w:tcPr>
          <w:p w14:paraId="5A81646F">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kern w:val="2"/>
                <w:sz w:val="21"/>
                <w:szCs w:val="22"/>
                <w:vertAlign w:val="baseline"/>
                <w:lang w:val="en-US" w:eastAsia="zh-CN" w:bidi="ar-SA"/>
              </w:rPr>
            </w:pPr>
            <w:r>
              <w:rPr>
                <w:rFonts w:hint="eastAsia" w:ascii="Arial" w:hAnsi="Arial" w:eastAsia="等线" w:cs="Arial"/>
                <w:b/>
                <w:bCs/>
                <w:vertAlign w:val="baseline"/>
                <w:lang w:val="en-US" w:eastAsia="zh-CN"/>
              </w:rPr>
              <w:t>Prediction option</w:t>
            </w:r>
          </w:p>
        </w:tc>
        <w:tc>
          <w:tcPr>
            <w:tcW w:w="1829" w:type="dxa"/>
            <w:shd w:val="clear" w:color="auto" w:fill="auto"/>
            <w:vAlign w:val="center"/>
          </w:tcPr>
          <w:p w14:paraId="573DAEDD">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kern w:val="2"/>
                <w:sz w:val="21"/>
                <w:szCs w:val="22"/>
                <w:vertAlign w:val="baseline"/>
                <w:lang w:val="en-US" w:eastAsia="zh-CN" w:bidi="ar-SA"/>
              </w:rPr>
            </w:pPr>
            <w:r>
              <w:rPr>
                <w:rFonts w:hint="eastAsia" w:ascii="Arial" w:hAnsi="Arial" w:eastAsia="等线" w:cs="Arial"/>
                <w:b/>
                <w:bCs/>
                <w:vertAlign w:val="baseline"/>
                <w:lang w:val="en-US" w:eastAsia="zh-CN"/>
              </w:rPr>
              <w:t>Model type</w:t>
            </w:r>
          </w:p>
        </w:tc>
        <w:tc>
          <w:tcPr>
            <w:tcW w:w="4172" w:type="dxa"/>
            <w:shd w:val="clear" w:color="auto" w:fill="auto"/>
            <w:vAlign w:val="center"/>
          </w:tcPr>
          <w:p w14:paraId="39AE00E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等线" w:cs="Arial"/>
                <w:b/>
                <w:bCs/>
                <w:kern w:val="2"/>
                <w:sz w:val="21"/>
                <w:szCs w:val="22"/>
                <w:vertAlign w:val="baseline"/>
                <w:lang w:val="en-US" w:eastAsia="zh-CN" w:bidi="ar-SA"/>
              </w:rPr>
            </w:pPr>
            <w:r>
              <w:rPr>
                <w:rFonts w:hint="eastAsia" w:ascii="Arial" w:hAnsi="Arial" w:eastAsia="等线" w:cs="Arial"/>
                <w:b/>
                <w:bCs/>
                <w:vertAlign w:val="baseline"/>
                <w:lang w:val="en-US" w:eastAsia="zh-CN"/>
              </w:rPr>
              <w:t>Data content</w:t>
            </w:r>
          </w:p>
        </w:tc>
      </w:tr>
      <w:tr w14:paraId="1C26D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restart"/>
            <w:vAlign w:val="center"/>
          </w:tcPr>
          <w:p w14:paraId="5B290CD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等线" w:cs="Arial"/>
                <w:vertAlign w:val="baseline"/>
                <w:lang w:val="en-US" w:eastAsia="zh-CN"/>
              </w:rPr>
              <w:t>Model training</w:t>
            </w:r>
          </w:p>
        </w:tc>
        <w:tc>
          <w:tcPr>
            <w:tcW w:w="2019" w:type="dxa"/>
            <w:vAlign w:val="center"/>
          </w:tcPr>
          <w:p w14:paraId="2EEA07F8">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Indirect prediction</w:t>
            </w:r>
          </w:p>
        </w:tc>
        <w:tc>
          <w:tcPr>
            <w:tcW w:w="1829" w:type="dxa"/>
            <w:vAlign w:val="center"/>
          </w:tcPr>
          <w:p w14:paraId="07076CB7">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UE-sided model</w:t>
            </w:r>
          </w:p>
        </w:tc>
        <w:tc>
          <w:tcPr>
            <w:tcW w:w="4172" w:type="dxa"/>
            <w:vAlign w:val="center"/>
          </w:tcPr>
          <w:p w14:paraId="425703F2">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 xml:space="preserve">Same </w:t>
            </w:r>
            <w:r>
              <w:rPr>
                <w:rFonts w:hint="eastAsia" w:ascii="Arial" w:hAnsi="Arial" w:eastAsia="等线" w:cs="Arial"/>
                <w:lang w:val="en-US" w:eastAsia="zh-CN"/>
              </w:rPr>
              <w:t xml:space="preserve">as </w:t>
            </w:r>
            <w:r>
              <w:rPr>
                <w:rFonts w:hint="eastAsia" w:ascii="Arial" w:hAnsi="Arial" w:eastAsia="宋体" w:cs="Arial"/>
                <w:sz w:val="21"/>
                <w:szCs w:val="22"/>
                <w:vertAlign w:val="baseline"/>
                <w:lang w:val="en-US" w:eastAsia="zh-CN"/>
              </w:rPr>
              <w:t>RRM measurement prediction</w:t>
            </w:r>
          </w:p>
        </w:tc>
      </w:tr>
      <w:tr w14:paraId="384B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continue"/>
            <w:vAlign w:val="center"/>
          </w:tcPr>
          <w:p w14:paraId="1A36F1DF">
            <w:pPr>
              <w:numPr>
                <w:ilvl w:val="0"/>
                <w:numId w:val="0"/>
              </w:numPr>
              <w:spacing w:after="180"/>
              <w:jc w:val="center"/>
              <w:rPr>
                <w:rFonts w:hint="default" w:ascii="Arial" w:hAnsi="Arial" w:eastAsia="宋体" w:cs="Arial"/>
                <w:sz w:val="21"/>
                <w:szCs w:val="22"/>
                <w:vertAlign w:val="baseline"/>
                <w:lang w:val="en-US" w:eastAsia="zh-CN"/>
              </w:rPr>
            </w:pPr>
          </w:p>
        </w:tc>
        <w:tc>
          <w:tcPr>
            <w:tcW w:w="2019" w:type="dxa"/>
            <w:vAlign w:val="center"/>
          </w:tcPr>
          <w:p w14:paraId="7789CCAB">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Direct prediction</w:t>
            </w:r>
          </w:p>
        </w:tc>
        <w:tc>
          <w:tcPr>
            <w:tcW w:w="1829" w:type="dxa"/>
            <w:vAlign w:val="center"/>
          </w:tcPr>
          <w:p w14:paraId="7AB88833">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vertAlign w:val="baseline"/>
                <w:lang w:val="en-US" w:eastAsia="zh-CN"/>
              </w:rPr>
              <w:t>UE-sided model</w:t>
            </w:r>
          </w:p>
        </w:tc>
        <w:tc>
          <w:tcPr>
            <w:tcW w:w="4172" w:type="dxa"/>
            <w:vAlign w:val="center"/>
          </w:tcPr>
          <w:p w14:paraId="77338A20">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lang w:val="en-US" w:eastAsia="zh-CN"/>
              </w:rPr>
              <w:t>Temporal L3 cell level measurement results of serving cell and/or neighbor cells</w:t>
            </w:r>
          </w:p>
          <w:p w14:paraId="4D7CC37A">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lang w:val="en-US" w:eastAsia="zh-CN"/>
              </w:rPr>
              <w:t>Measurement event configuration (e.g. offset, TTT)</w:t>
            </w:r>
          </w:p>
          <w:p w14:paraId="57025523">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120"/>
              <w:ind w:left="420" w:leftChars="0" w:hanging="420" w:firstLineChars="0"/>
              <w:jc w:val="left"/>
              <w:textAlignment w:val="auto"/>
              <w:rPr>
                <w:rFonts w:hint="default" w:ascii="Arial" w:hAnsi="Arial" w:eastAsia="宋体" w:cs="Arial"/>
                <w:sz w:val="21"/>
                <w:szCs w:val="22"/>
                <w:vertAlign w:val="baseline"/>
                <w:lang w:val="en-US" w:eastAsia="zh-CN"/>
              </w:rPr>
            </w:pPr>
            <w:r>
              <w:rPr>
                <w:rFonts w:hint="eastAsia" w:ascii="Arial" w:hAnsi="Arial" w:eastAsia="宋体" w:cs="Arial"/>
                <w:sz w:val="21"/>
                <w:szCs w:val="22"/>
                <w:lang w:val="en-US" w:eastAsia="zh-CN"/>
              </w:rPr>
              <w:t>Occurrence time of measurement event</w:t>
            </w:r>
          </w:p>
        </w:tc>
      </w:tr>
    </w:tbl>
    <w:p w14:paraId="18F69496">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cs="Arial"/>
          <w:b/>
          <w:bCs w:val="0"/>
          <w:sz w:val="20"/>
          <w:szCs w:val="21"/>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14"/>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Draft_R</w:t>
      </w:r>
      <w:r>
        <w:rPr>
          <w:rFonts w:hint="eastAsia" w:ascii="Arial" w:hAnsi="Arial" w:eastAsia="宋体" w:cs="Arial"/>
          <w:kern w:val="0"/>
          <w:sz w:val="20"/>
          <w:szCs w:val="20"/>
          <w:lang w:val="en-US" w:eastAsia="zh-CN"/>
        </w:rPr>
        <w:t>AN</w:t>
      </w:r>
      <w:r>
        <w:rPr>
          <w:rFonts w:hint="eastAsia" w:ascii="Arial" w:hAnsi="Arial" w:eastAsia="宋体" w:cs="Arial"/>
          <w:kern w:val="0"/>
          <w:sz w:val="20"/>
          <w:szCs w:val="20"/>
          <w:lang w:val="en-GB" w:eastAsia="en-US"/>
        </w:rPr>
        <w:t>2_12</w:t>
      </w:r>
      <w:r>
        <w:rPr>
          <w:rFonts w:hint="eastAsia" w:ascii="Arial" w:hAnsi="Arial" w:eastAsia="宋体" w:cs="Arial"/>
          <w:kern w:val="0"/>
          <w:sz w:val="20"/>
          <w:szCs w:val="20"/>
        </w:rPr>
        <w:t>9bis</w:t>
      </w:r>
      <w:r>
        <w:rPr>
          <w:rFonts w:hint="eastAsia" w:ascii="Arial" w:hAnsi="Arial" w:eastAsia="宋体" w:cs="Arial"/>
          <w:kern w:val="0"/>
          <w:sz w:val="20"/>
          <w:szCs w:val="20"/>
          <w:lang w:val="en-GB" w:eastAsia="en-US"/>
        </w:rPr>
        <w:t>_Meeting_Report</w:t>
      </w:r>
      <w:r>
        <w:rPr>
          <w:rFonts w:hint="eastAsia" w:ascii="Arial" w:hAnsi="Arial" w:eastAsia="宋体" w:cs="Arial"/>
          <w:kern w:val="0"/>
          <w:sz w:val="20"/>
          <w:szCs w:val="20"/>
          <w:lang w:val="en-US" w:eastAsia="zh-CN"/>
        </w:rPr>
        <w:t>_v2</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17D9F9"/>
    <w:multiLevelType w:val="multilevel"/>
    <w:tmpl w:val="D817D9F9"/>
    <w:lvl w:ilvl="0" w:tentative="0">
      <w:start w:val="1"/>
      <w:numFmt w:val="bullet"/>
      <w:lvlText w:val=""/>
      <w:lvlJc w:val="left"/>
      <w:pPr>
        <w:tabs>
          <w:tab w:val="left" w:pos="1619"/>
        </w:tabs>
        <w:ind w:left="1134" w:leftChars="0" w:firstLine="125" w:firstLineChars="0"/>
      </w:pPr>
      <w:rPr>
        <w:rFonts w:hint="default" w:ascii="Symbol" w:hAnsi="Symbol"/>
        <w:sz w:val="20"/>
      </w:rPr>
    </w:lvl>
    <w:lvl w:ilvl="1" w:tentative="0">
      <w:start w:val="1"/>
      <w:numFmt w:val="bullet"/>
      <w:lvlText w:val="o"/>
      <w:lvlJc w:val="left"/>
      <w:pPr>
        <w:tabs>
          <w:tab w:val="left" w:pos="2339"/>
        </w:tabs>
        <w:ind w:left="2339" w:hanging="360"/>
      </w:pPr>
      <w:rPr>
        <w:rFonts w:hint="default" w:ascii="Courier New" w:hAnsi="Courier New"/>
        <w:sz w:val="20"/>
      </w:rPr>
    </w:lvl>
    <w:lvl w:ilvl="2" w:tentative="0">
      <w:start w:val="1"/>
      <w:numFmt w:val="bullet"/>
      <w:lvlText w:val=""/>
      <w:lvlJc w:val="left"/>
      <w:pPr>
        <w:tabs>
          <w:tab w:val="left" w:pos="3059"/>
        </w:tabs>
        <w:ind w:left="3059" w:hanging="360"/>
      </w:pPr>
      <w:rPr>
        <w:rFonts w:hint="default" w:ascii="Symbol" w:hAnsi="Symbol"/>
        <w:sz w:val="20"/>
      </w:rPr>
    </w:lvl>
    <w:lvl w:ilvl="3" w:tentative="0">
      <w:start w:val="1"/>
      <w:numFmt w:val="bullet"/>
      <w:lvlText w:val=""/>
      <w:lvlJc w:val="left"/>
      <w:pPr>
        <w:tabs>
          <w:tab w:val="left" w:pos="3779"/>
        </w:tabs>
        <w:ind w:left="3779" w:hanging="360"/>
      </w:pPr>
      <w:rPr>
        <w:rFonts w:hint="default" w:ascii="Symbol" w:hAnsi="Symbol"/>
        <w:sz w:val="20"/>
      </w:rPr>
    </w:lvl>
    <w:lvl w:ilvl="4" w:tentative="0">
      <w:start w:val="1"/>
      <w:numFmt w:val="bullet"/>
      <w:lvlText w:val=""/>
      <w:lvlJc w:val="left"/>
      <w:pPr>
        <w:tabs>
          <w:tab w:val="left" w:pos="4499"/>
        </w:tabs>
        <w:ind w:left="4499" w:hanging="360"/>
      </w:pPr>
      <w:rPr>
        <w:rFonts w:hint="default" w:ascii="Symbol" w:hAnsi="Symbol"/>
        <w:sz w:val="20"/>
      </w:rPr>
    </w:lvl>
    <w:lvl w:ilvl="5" w:tentative="0">
      <w:start w:val="1"/>
      <w:numFmt w:val="bullet"/>
      <w:lvlText w:val=""/>
      <w:lvlJc w:val="left"/>
      <w:pPr>
        <w:tabs>
          <w:tab w:val="left" w:pos="5219"/>
        </w:tabs>
        <w:ind w:left="5219" w:hanging="360"/>
      </w:pPr>
      <w:rPr>
        <w:rFonts w:hint="default" w:ascii="Symbol" w:hAnsi="Symbol"/>
        <w:sz w:val="20"/>
      </w:rPr>
    </w:lvl>
    <w:lvl w:ilvl="6" w:tentative="0">
      <w:start w:val="1"/>
      <w:numFmt w:val="bullet"/>
      <w:lvlText w:val=""/>
      <w:lvlJc w:val="left"/>
      <w:pPr>
        <w:tabs>
          <w:tab w:val="left" w:pos="5939"/>
        </w:tabs>
        <w:ind w:left="5939" w:hanging="360"/>
      </w:pPr>
      <w:rPr>
        <w:rFonts w:hint="default" w:ascii="Symbol" w:hAnsi="Symbol"/>
        <w:sz w:val="20"/>
      </w:rPr>
    </w:lvl>
    <w:lvl w:ilvl="7" w:tentative="0">
      <w:start w:val="1"/>
      <w:numFmt w:val="bullet"/>
      <w:lvlText w:val=""/>
      <w:lvlJc w:val="left"/>
      <w:pPr>
        <w:tabs>
          <w:tab w:val="left" w:pos="6659"/>
        </w:tabs>
        <w:ind w:left="6659" w:hanging="360"/>
      </w:pPr>
      <w:rPr>
        <w:rFonts w:hint="default" w:ascii="Symbol" w:hAnsi="Symbol"/>
        <w:sz w:val="20"/>
      </w:rPr>
    </w:lvl>
    <w:lvl w:ilvl="8" w:tentative="0">
      <w:start w:val="1"/>
      <w:numFmt w:val="bullet"/>
      <w:lvlText w:val=""/>
      <w:lvlJc w:val="left"/>
      <w:pPr>
        <w:tabs>
          <w:tab w:val="left" w:pos="7379"/>
        </w:tabs>
        <w:ind w:left="7379" w:hanging="360"/>
      </w:pPr>
      <w:rPr>
        <w:rFonts w:hint="default" w:ascii="Symbol" w:hAnsi="Symbol"/>
        <w:sz w:val="20"/>
      </w:rPr>
    </w:lvl>
  </w:abstractNum>
  <w:abstractNum w:abstractNumId="1">
    <w:nsid w:val="E2568435"/>
    <w:multiLevelType w:val="singleLevel"/>
    <w:tmpl w:val="E2568435"/>
    <w:lvl w:ilvl="0" w:tentative="0">
      <w:start w:val="1"/>
      <w:numFmt w:val="lowerLetter"/>
      <w:suff w:val="space"/>
      <w:lvlText w:val="(%1)"/>
      <w:lvlJc w:val="left"/>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05471458"/>
    <w:multiLevelType w:val="multilevel"/>
    <w:tmpl w:val="0547145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2F6979C4"/>
    <w:multiLevelType w:val="singleLevel"/>
    <w:tmpl w:val="2F6979C4"/>
    <w:lvl w:ilvl="0" w:tentative="0">
      <w:start w:val="1"/>
      <w:numFmt w:val="bullet"/>
      <w:lvlText w:val=""/>
      <w:lvlJc w:val="left"/>
      <w:pPr>
        <w:ind w:left="420" w:leftChars="0" w:hanging="420" w:firstLineChars="0"/>
      </w:pPr>
      <w:rPr>
        <w:rFonts w:hint="default" w:ascii="Wingdings" w:hAnsi="Wingdings"/>
        <w:sz w:val="13"/>
      </w:rPr>
    </w:lvl>
  </w:abstractNum>
  <w:abstractNum w:abstractNumId="6">
    <w:nsid w:val="33F32BF2"/>
    <w:multiLevelType w:val="multilevel"/>
    <w:tmpl w:val="33F32BF2"/>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7">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8">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50BED944"/>
    <w:multiLevelType w:val="singleLevel"/>
    <w:tmpl w:val="50BED944"/>
    <w:lvl w:ilvl="0" w:tentative="0">
      <w:start w:val="1"/>
      <w:numFmt w:val="decimal"/>
      <w:lvlText w:val="%1"/>
      <w:lvlJc w:val="left"/>
    </w:lvl>
  </w:abstractNum>
  <w:abstractNum w:abstractNumId="10">
    <w:nsid w:val="54F730D8"/>
    <w:multiLevelType w:val="singleLevel"/>
    <w:tmpl w:val="54F730D8"/>
    <w:lvl w:ilvl="0" w:tentative="0">
      <w:start w:val="1"/>
      <w:numFmt w:val="bullet"/>
      <w:lvlText w:val=""/>
      <w:lvlJc w:val="left"/>
      <w:pPr>
        <w:ind w:left="420" w:hanging="420"/>
      </w:pPr>
      <w:rPr>
        <w:rFonts w:hint="default" w:ascii="Wingdings" w:hAnsi="Wingdings"/>
      </w:rPr>
    </w:lvl>
  </w:abstractNum>
  <w:abstractNum w:abstractNumId="11">
    <w:nsid w:val="62C767FF"/>
    <w:multiLevelType w:val="singleLevel"/>
    <w:tmpl w:val="62C767FF"/>
    <w:lvl w:ilvl="0" w:tentative="0">
      <w:start w:val="1"/>
      <w:numFmt w:val="bullet"/>
      <w:lvlText w:val=""/>
      <w:lvlJc w:val="left"/>
      <w:pPr>
        <w:tabs>
          <w:tab w:val="left" w:pos="840"/>
        </w:tabs>
        <w:ind w:left="1260" w:hanging="420"/>
      </w:pPr>
      <w:rPr>
        <w:rFonts w:hint="default" w:ascii="Wingdings" w:hAnsi="Wingdings"/>
      </w:rPr>
    </w:lvl>
  </w:abstractNum>
  <w:abstractNum w:abstractNumId="12">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2"/>
  </w:num>
  <w:num w:numId="3">
    <w:abstractNumId w:val="13"/>
  </w:num>
  <w:num w:numId="4">
    <w:abstractNumId w:val="12"/>
  </w:num>
  <w:num w:numId="5">
    <w:abstractNumId w:val="9"/>
  </w:num>
  <w:num w:numId="6">
    <w:abstractNumId w:val="3"/>
  </w:num>
  <w:num w:numId="7">
    <w:abstractNumId w:val="4"/>
  </w:num>
  <w:num w:numId="8">
    <w:abstractNumId w:val="0"/>
  </w:num>
  <w:num w:numId="9">
    <w:abstractNumId w:val="6"/>
  </w:num>
  <w:num w:numId="10">
    <w:abstractNumId w:val="11"/>
  </w:num>
  <w:num w:numId="11">
    <w:abstractNumId w:val="1"/>
  </w:num>
  <w:num w:numId="12">
    <w:abstractNumId w:val="5"/>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400FE"/>
    <w:rsid w:val="016C5974"/>
    <w:rsid w:val="016E658B"/>
    <w:rsid w:val="0174032B"/>
    <w:rsid w:val="01840FB9"/>
    <w:rsid w:val="019404F8"/>
    <w:rsid w:val="01A0498E"/>
    <w:rsid w:val="01A574CF"/>
    <w:rsid w:val="01A60C1B"/>
    <w:rsid w:val="01E966BF"/>
    <w:rsid w:val="02025461"/>
    <w:rsid w:val="02293976"/>
    <w:rsid w:val="02371446"/>
    <w:rsid w:val="02395107"/>
    <w:rsid w:val="02630C48"/>
    <w:rsid w:val="029B08C6"/>
    <w:rsid w:val="02A424C3"/>
    <w:rsid w:val="02B71025"/>
    <w:rsid w:val="02D745F1"/>
    <w:rsid w:val="02DD2D8B"/>
    <w:rsid w:val="02FA6D08"/>
    <w:rsid w:val="0300491B"/>
    <w:rsid w:val="03046FAC"/>
    <w:rsid w:val="030E32B0"/>
    <w:rsid w:val="03190295"/>
    <w:rsid w:val="036F637F"/>
    <w:rsid w:val="038A1F16"/>
    <w:rsid w:val="038D4CD3"/>
    <w:rsid w:val="03C408D4"/>
    <w:rsid w:val="03ED2655"/>
    <w:rsid w:val="0404039C"/>
    <w:rsid w:val="041A101A"/>
    <w:rsid w:val="042468D3"/>
    <w:rsid w:val="044B7594"/>
    <w:rsid w:val="04616861"/>
    <w:rsid w:val="04861CA0"/>
    <w:rsid w:val="04A12BB9"/>
    <w:rsid w:val="04A37BF0"/>
    <w:rsid w:val="04BD4BCE"/>
    <w:rsid w:val="04F25DBA"/>
    <w:rsid w:val="04F46CEE"/>
    <w:rsid w:val="04FA7115"/>
    <w:rsid w:val="04FD5053"/>
    <w:rsid w:val="054134AD"/>
    <w:rsid w:val="05551670"/>
    <w:rsid w:val="056C27CB"/>
    <w:rsid w:val="0571089C"/>
    <w:rsid w:val="058844D8"/>
    <w:rsid w:val="05AD7C3D"/>
    <w:rsid w:val="05B81468"/>
    <w:rsid w:val="05B92B80"/>
    <w:rsid w:val="05CC288F"/>
    <w:rsid w:val="05D4720E"/>
    <w:rsid w:val="05FB3716"/>
    <w:rsid w:val="06042B32"/>
    <w:rsid w:val="061355E6"/>
    <w:rsid w:val="0660508D"/>
    <w:rsid w:val="069766D8"/>
    <w:rsid w:val="06AC66F5"/>
    <w:rsid w:val="06B111C0"/>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70581B"/>
    <w:rsid w:val="08A06BD3"/>
    <w:rsid w:val="08BD2F14"/>
    <w:rsid w:val="08D80E0C"/>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6C1EE0"/>
    <w:rsid w:val="0C7F3E15"/>
    <w:rsid w:val="0C7F7B27"/>
    <w:rsid w:val="0CC05689"/>
    <w:rsid w:val="0CD33899"/>
    <w:rsid w:val="0CD5224C"/>
    <w:rsid w:val="0CE47224"/>
    <w:rsid w:val="0CED527E"/>
    <w:rsid w:val="0D09234F"/>
    <w:rsid w:val="0D362C45"/>
    <w:rsid w:val="0D570A89"/>
    <w:rsid w:val="0D574214"/>
    <w:rsid w:val="0D711EBE"/>
    <w:rsid w:val="0D771EA7"/>
    <w:rsid w:val="0DA728AC"/>
    <w:rsid w:val="0DAD175B"/>
    <w:rsid w:val="0DB25F8E"/>
    <w:rsid w:val="0DCA2F46"/>
    <w:rsid w:val="0DE11C21"/>
    <w:rsid w:val="0DE14E46"/>
    <w:rsid w:val="0E0422AA"/>
    <w:rsid w:val="0E3D4FDF"/>
    <w:rsid w:val="0E4A09D7"/>
    <w:rsid w:val="0E56201A"/>
    <w:rsid w:val="0E6C0832"/>
    <w:rsid w:val="0E6E3C34"/>
    <w:rsid w:val="0EAF327B"/>
    <w:rsid w:val="0EC43EB5"/>
    <w:rsid w:val="0EE20A7B"/>
    <w:rsid w:val="0F1D748A"/>
    <w:rsid w:val="0F4E079B"/>
    <w:rsid w:val="0F732504"/>
    <w:rsid w:val="0F782620"/>
    <w:rsid w:val="0F8A7784"/>
    <w:rsid w:val="0F8C51E0"/>
    <w:rsid w:val="0FC803F4"/>
    <w:rsid w:val="0FCA4E7F"/>
    <w:rsid w:val="10090A65"/>
    <w:rsid w:val="108B22CD"/>
    <w:rsid w:val="109C30D1"/>
    <w:rsid w:val="10AC6F3F"/>
    <w:rsid w:val="10C31C47"/>
    <w:rsid w:val="10C64AE7"/>
    <w:rsid w:val="10F04644"/>
    <w:rsid w:val="110171B2"/>
    <w:rsid w:val="111422F1"/>
    <w:rsid w:val="11171B9A"/>
    <w:rsid w:val="111F30A5"/>
    <w:rsid w:val="113E2BC1"/>
    <w:rsid w:val="116F7873"/>
    <w:rsid w:val="117330A5"/>
    <w:rsid w:val="11900A86"/>
    <w:rsid w:val="119B1CE5"/>
    <w:rsid w:val="11AD6655"/>
    <w:rsid w:val="11B96DAB"/>
    <w:rsid w:val="11D361EC"/>
    <w:rsid w:val="11D44799"/>
    <w:rsid w:val="11D65F4E"/>
    <w:rsid w:val="11E4251C"/>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9327D8"/>
    <w:rsid w:val="13A46671"/>
    <w:rsid w:val="13CF2FE3"/>
    <w:rsid w:val="13D36FA4"/>
    <w:rsid w:val="14256000"/>
    <w:rsid w:val="1466786F"/>
    <w:rsid w:val="149733D6"/>
    <w:rsid w:val="14A668A4"/>
    <w:rsid w:val="14A9029F"/>
    <w:rsid w:val="14B83431"/>
    <w:rsid w:val="14D815EB"/>
    <w:rsid w:val="14E836E8"/>
    <w:rsid w:val="14F142C3"/>
    <w:rsid w:val="150B2175"/>
    <w:rsid w:val="150B6FBF"/>
    <w:rsid w:val="152B1104"/>
    <w:rsid w:val="154A66B0"/>
    <w:rsid w:val="159C7EDD"/>
    <w:rsid w:val="15BE553B"/>
    <w:rsid w:val="15E03E14"/>
    <w:rsid w:val="15E4550B"/>
    <w:rsid w:val="15E9482E"/>
    <w:rsid w:val="160F3727"/>
    <w:rsid w:val="161147C5"/>
    <w:rsid w:val="16327956"/>
    <w:rsid w:val="166A7A3B"/>
    <w:rsid w:val="16725680"/>
    <w:rsid w:val="168B0BBD"/>
    <w:rsid w:val="168B7CC4"/>
    <w:rsid w:val="16996A0B"/>
    <w:rsid w:val="16A3322F"/>
    <w:rsid w:val="16B56AEF"/>
    <w:rsid w:val="16C120B7"/>
    <w:rsid w:val="16C47023"/>
    <w:rsid w:val="16CD3708"/>
    <w:rsid w:val="16D51B5B"/>
    <w:rsid w:val="16D7712F"/>
    <w:rsid w:val="16ED23AA"/>
    <w:rsid w:val="16F04ED6"/>
    <w:rsid w:val="172F4118"/>
    <w:rsid w:val="17607D54"/>
    <w:rsid w:val="17616244"/>
    <w:rsid w:val="17694A75"/>
    <w:rsid w:val="17916AE6"/>
    <w:rsid w:val="179D12F3"/>
    <w:rsid w:val="17A858E4"/>
    <w:rsid w:val="17AE49E6"/>
    <w:rsid w:val="17CD5A7B"/>
    <w:rsid w:val="17E31439"/>
    <w:rsid w:val="18035F6A"/>
    <w:rsid w:val="18254C83"/>
    <w:rsid w:val="185C58E1"/>
    <w:rsid w:val="186366A3"/>
    <w:rsid w:val="187A66B9"/>
    <w:rsid w:val="1881324F"/>
    <w:rsid w:val="18A246AF"/>
    <w:rsid w:val="18CD4E3E"/>
    <w:rsid w:val="18F32680"/>
    <w:rsid w:val="18F72FDD"/>
    <w:rsid w:val="18F80417"/>
    <w:rsid w:val="18FE1274"/>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4601E"/>
    <w:rsid w:val="1AA65DB0"/>
    <w:rsid w:val="1ABB3621"/>
    <w:rsid w:val="1ABF7C53"/>
    <w:rsid w:val="1ADE6206"/>
    <w:rsid w:val="1AE56DC9"/>
    <w:rsid w:val="1AE7452F"/>
    <w:rsid w:val="1AEB507C"/>
    <w:rsid w:val="1B073464"/>
    <w:rsid w:val="1B2A626C"/>
    <w:rsid w:val="1B5E2B2B"/>
    <w:rsid w:val="1B695698"/>
    <w:rsid w:val="1BB22919"/>
    <w:rsid w:val="1BB93D57"/>
    <w:rsid w:val="1BF91505"/>
    <w:rsid w:val="1BFD7E3D"/>
    <w:rsid w:val="1C02494D"/>
    <w:rsid w:val="1C064DE2"/>
    <w:rsid w:val="1C263D41"/>
    <w:rsid w:val="1C631691"/>
    <w:rsid w:val="1C6673DB"/>
    <w:rsid w:val="1C6A1BB2"/>
    <w:rsid w:val="1C726F5B"/>
    <w:rsid w:val="1C937E16"/>
    <w:rsid w:val="1CC529AF"/>
    <w:rsid w:val="1CC914E2"/>
    <w:rsid w:val="1CDA5DED"/>
    <w:rsid w:val="1D031FA5"/>
    <w:rsid w:val="1D0A4B3C"/>
    <w:rsid w:val="1D595CEF"/>
    <w:rsid w:val="1D700D25"/>
    <w:rsid w:val="1D9948E6"/>
    <w:rsid w:val="1DA1677A"/>
    <w:rsid w:val="1DA90A2F"/>
    <w:rsid w:val="1DE55E1B"/>
    <w:rsid w:val="1DEA2636"/>
    <w:rsid w:val="1E015BFF"/>
    <w:rsid w:val="1E261FEC"/>
    <w:rsid w:val="1E3D5D61"/>
    <w:rsid w:val="1E3E032D"/>
    <w:rsid w:val="1E4C7D38"/>
    <w:rsid w:val="1E5D014C"/>
    <w:rsid w:val="1E625159"/>
    <w:rsid w:val="1E683F1C"/>
    <w:rsid w:val="1E6C052F"/>
    <w:rsid w:val="1E8017FF"/>
    <w:rsid w:val="1EB31B66"/>
    <w:rsid w:val="1EB529F8"/>
    <w:rsid w:val="1EEC75A7"/>
    <w:rsid w:val="1EF17AB3"/>
    <w:rsid w:val="1EF92460"/>
    <w:rsid w:val="1F1F4D17"/>
    <w:rsid w:val="1F4B516F"/>
    <w:rsid w:val="1F5E6350"/>
    <w:rsid w:val="1F6E5BB9"/>
    <w:rsid w:val="1F7E629B"/>
    <w:rsid w:val="1F8A3BD5"/>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E30EC1"/>
    <w:rsid w:val="23365998"/>
    <w:rsid w:val="236906A5"/>
    <w:rsid w:val="2375481A"/>
    <w:rsid w:val="23797368"/>
    <w:rsid w:val="23822B30"/>
    <w:rsid w:val="23987B12"/>
    <w:rsid w:val="23B828A0"/>
    <w:rsid w:val="23EE120B"/>
    <w:rsid w:val="2403705B"/>
    <w:rsid w:val="24110B80"/>
    <w:rsid w:val="242332EA"/>
    <w:rsid w:val="24572D18"/>
    <w:rsid w:val="245A7C91"/>
    <w:rsid w:val="249D5D77"/>
    <w:rsid w:val="24B2031D"/>
    <w:rsid w:val="24B445FB"/>
    <w:rsid w:val="24BD6504"/>
    <w:rsid w:val="24C74F14"/>
    <w:rsid w:val="24D708E2"/>
    <w:rsid w:val="24E35931"/>
    <w:rsid w:val="24FB6730"/>
    <w:rsid w:val="25046314"/>
    <w:rsid w:val="251B6F7E"/>
    <w:rsid w:val="252515BC"/>
    <w:rsid w:val="25787665"/>
    <w:rsid w:val="25815EBA"/>
    <w:rsid w:val="258B4FC9"/>
    <w:rsid w:val="25D42A29"/>
    <w:rsid w:val="25E22D30"/>
    <w:rsid w:val="25F5013E"/>
    <w:rsid w:val="2618546A"/>
    <w:rsid w:val="262A1C6D"/>
    <w:rsid w:val="262F627F"/>
    <w:rsid w:val="26315BFD"/>
    <w:rsid w:val="264A4407"/>
    <w:rsid w:val="26537397"/>
    <w:rsid w:val="26590269"/>
    <w:rsid w:val="2660154C"/>
    <w:rsid w:val="26741477"/>
    <w:rsid w:val="26A276B5"/>
    <w:rsid w:val="26B6068C"/>
    <w:rsid w:val="26BA68C7"/>
    <w:rsid w:val="26BB1824"/>
    <w:rsid w:val="26BF5E40"/>
    <w:rsid w:val="26C12C45"/>
    <w:rsid w:val="26F0158E"/>
    <w:rsid w:val="26F237CD"/>
    <w:rsid w:val="2719754A"/>
    <w:rsid w:val="2725126B"/>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404D9"/>
    <w:rsid w:val="28F4407D"/>
    <w:rsid w:val="28F843AB"/>
    <w:rsid w:val="291138C7"/>
    <w:rsid w:val="29120E51"/>
    <w:rsid w:val="292F6255"/>
    <w:rsid w:val="295A0994"/>
    <w:rsid w:val="295A50C3"/>
    <w:rsid w:val="29733D9F"/>
    <w:rsid w:val="29A61468"/>
    <w:rsid w:val="29BE37C1"/>
    <w:rsid w:val="29D972D3"/>
    <w:rsid w:val="29DF7FFE"/>
    <w:rsid w:val="2A0B3F8F"/>
    <w:rsid w:val="2A5039D7"/>
    <w:rsid w:val="2A665688"/>
    <w:rsid w:val="2A7D74CC"/>
    <w:rsid w:val="2A7F4563"/>
    <w:rsid w:val="2AB12D4D"/>
    <w:rsid w:val="2B3F4C1F"/>
    <w:rsid w:val="2B464915"/>
    <w:rsid w:val="2B4D1216"/>
    <w:rsid w:val="2B543C6C"/>
    <w:rsid w:val="2B58393A"/>
    <w:rsid w:val="2B8030A5"/>
    <w:rsid w:val="2BB4500B"/>
    <w:rsid w:val="2BB761AE"/>
    <w:rsid w:val="2BC37D39"/>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D031C"/>
    <w:rsid w:val="2E690493"/>
    <w:rsid w:val="2EA86437"/>
    <w:rsid w:val="2EB103B1"/>
    <w:rsid w:val="2F0F71E6"/>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1241C3"/>
    <w:rsid w:val="30296BB8"/>
    <w:rsid w:val="30546F05"/>
    <w:rsid w:val="30890423"/>
    <w:rsid w:val="309D4655"/>
    <w:rsid w:val="30A27A0B"/>
    <w:rsid w:val="30A35497"/>
    <w:rsid w:val="30C026F3"/>
    <w:rsid w:val="315423FA"/>
    <w:rsid w:val="315B7AEC"/>
    <w:rsid w:val="31710789"/>
    <w:rsid w:val="317503B0"/>
    <w:rsid w:val="31A977AF"/>
    <w:rsid w:val="31AC0A51"/>
    <w:rsid w:val="31D53C4D"/>
    <w:rsid w:val="31EF162F"/>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50315F"/>
    <w:rsid w:val="348F0A80"/>
    <w:rsid w:val="34A26022"/>
    <w:rsid w:val="34B0567F"/>
    <w:rsid w:val="34B443F6"/>
    <w:rsid w:val="34E12F4E"/>
    <w:rsid w:val="34EB31AA"/>
    <w:rsid w:val="34EC41DF"/>
    <w:rsid w:val="35040A33"/>
    <w:rsid w:val="351A24AD"/>
    <w:rsid w:val="35273121"/>
    <w:rsid w:val="354E123E"/>
    <w:rsid w:val="354F2AD2"/>
    <w:rsid w:val="356D6A12"/>
    <w:rsid w:val="35B50461"/>
    <w:rsid w:val="35C36B07"/>
    <w:rsid w:val="35C60438"/>
    <w:rsid w:val="360D6591"/>
    <w:rsid w:val="361F2C5E"/>
    <w:rsid w:val="363976F7"/>
    <w:rsid w:val="365437D6"/>
    <w:rsid w:val="36681B72"/>
    <w:rsid w:val="366E68DA"/>
    <w:rsid w:val="36702533"/>
    <w:rsid w:val="369938DF"/>
    <w:rsid w:val="36BD137C"/>
    <w:rsid w:val="36DE2E34"/>
    <w:rsid w:val="36E02E58"/>
    <w:rsid w:val="36E614FC"/>
    <w:rsid w:val="36F84B57"/>
    <w:rsid w:val="37133692"/>
    <w:rsid w:val="373F7C5E"/>
    <w:rsid w:val="3746309F"/>
    <w:rsid w:val="3751494E"/>
    <w:rsid w:val="375A24EA"/>
    <w:rsid w:val="37757EA8"/>
    <w:rsid w:val="3784494C"/>
    <w:rsid w:val="378A1E8D"/>
    <w:rsid w:val="37BC00E4"/>
    <w:rsid w:val="37C859C7"/>
    <w:rsid w:val="37D62F7A"/>
    <w:rsid w:val="37E30435"/>
    <w:rsid w:val="37E40AE8"/>
    <w:rsid w:val="37F03A7C"/>
    <w:rsid w:val="37F3629E"/>
    <w:rsid w:val="3801173C"/>
    <w:rsid w:val="38060F79"/>
    <w:rsid w:val="38377799"/>
    <w:rsid w:val="3839587C"/>
    <w:rsid w:val="384E5182"/>
    <w:rsid w:val="384E5649"/>
    <w:rsid w:val="38746ABC"/>
    <w:rsid w:val="38761BD7"/>
    <w:rsid w:val="38AE69D5"/>
    <w:rsid w:val="38B36EDA"/>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0697"/>
    <w:rsid w:val="3A903A88"/>
    <w:rsid w:val="3AA50AA5"/>
    <w:rsid w:val="3AB341F2"/>
    <w:rsid w:val="3AC820F6"/>
    <w:rsid w:val="3AEB3C21"/>
    <w:rsid w:val="3AFB6043"/>
    <w:rsid w:val="3B041E40"/>
    <w:rsid w:val="3B191C47"/>
    <w:rsid w:val="3B205806"/>
    <w:rsid w:val="3B295FAA"/>
    <w:rsid w:val="3B48137D"/>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9214B7"/>
    <w:rsid w:val="3DB23DD9"/>
    <w:rsid w:val="3DB63349"/>
    <w:rsid w:val="3DC1040F"/>
    <w:rsid w:val="3DEE576C"/>
    <w:rsid w:val="3DF57F08"/>
    <w:rsid w:val="3E143052"/>
    <w:rsid w:val="3E262B6F"/>
    <w:rsid w:val="3E390C78"/>
    <w:rsid w:val="3E500D27"/>
    <w:rsid w:val="3E573ADE"/>
    <w:rsid w:val="3EA55E90"/>
    <w:rsid w:val="3ECD0998"/>
    <w:rsid w:val="3ED508CA"/>
    <w:rsid w:val="3F1109BC"/>
    <w:rsid w:val="3F1B7587"/>
    <w:rsid w:val="3F334B22"/>
    <w:rsid w:val="3F805B16"/>
    <w:rsid w:val="3F892743"/>
    <w:rsid w:val="3FA011AF"/>
    <w:rsid w:val="3FA42170"/>
    <w:rsid w:val="3FAF36DB"/>
    <w:rsid w:val="3FCB6BE9"/>
    <w:rsid w:val="402B1A4C"/>
    <w:rsid w:val="402F1229"/>
    <w:rsid w:val="405759DA"/>
    <w:rsid w:val="405814E6"/>
    <w:rsid w:val="40607D10"/>
    <w:rsid w:val="406A14B3"/>
    <w:rsid w:val="407C15D8"/>
    <w:rsid w:val="408B597B"/>
    <w:rsid w:val="409D1B0D"/>
    <w:rsid w:val="40F97CA8"/>
    <w:rsid w:val="41171B69"/>
    <w:rsid w:val="412B59AE"/>
    <w:rsid w:val="41310F0B"/>
    <w:rsid w:val="41415E9E"/>
    <w:rsid w:val="41883A8E"/>
    <w:rsid w:val="418A60B4"/>
    <w:rsid w:val="41962EF5"/>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D3A87"/>
    <w:rsid w:val="43600192"/>
    <w:rsid w:val="43617533"/>
    <w:rsid w:val="437377FC"/>
    <w:rsid w:val="43964A1C"/>
    <w:rsid w:val="43E22B61"/>
    <w:rsid w:val="44010D72"/>
    <w:rsid w:val="44031DB9"/>
    <w:rsid w:val="44073C4A"/>
    <w:rsid w:val="442F628E"/>
    <w:rsid w:val="447943E7"/>
    <w:rsid w:val="44B41FCD"/>
    <w:rsid w:val="44F46625"/>
    <w:rsid w:val="44F52628"/>
    <w:rsid w:val="454C191C"/>
    <w:rsid w:val="454C5876"/>
    <w:rsid w:val="4556652D"/>
    <w:rsid w:val="45861251"/>
    <w:rsid w:val="459911EE"/>
    <w:rsid w:val="4599227F"/>
    <w:rsid w:val="45BE024B"/>
    <w:rsid w:val="45BE2AD4"/>
    <w:rsid w:val="45C2437E"/>
    <w:rsid w:val="45EA2721"/>
    <w:rsid w:val="460A0745"/>
    <w:rsid w:val="46300B95"/>
    <w:rsid w:val="463A3C1C"/>
    <w:rsid w:val="46496788"/>
    <w:rsid w:val="466E6ADA"/>
    <w:rsid w:val="46776100"/>
    <w:rsid w:val="4699240B"/>
    <w:rsid w:val="46B7014A"/>
    <w:rsid w:val="46C942A7"/>
    <w:rsid w:val="46DD4977"/>
    <w:rsid w:val="46DE0D2C"/>
    <w:rsid w:val="46EC22D2"/>
    <w:rsid w:val="46ED5CA5"/>
    <w:rsid w:val="46FE4C6E"/>
    <w:rsid w:val="47062AB6"/>
    <w:rsid w:val="471F04AD"/>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BB1493"/>
    <w:rsid w:val="48E540D8"/>
    <w:rsid w:val="48F702B1"/>
    <w:rsid w:val="49043E31"/>
    <w:rsid w:val="492910E2"/>
    <w:rsid w:val="492E569F"/>
    <w:rsid w:val="494B446A"/>
    <w:rsid w:val="494E1C27"/>
    <w:rsid w:val="497A40B6"/>
    <w:rsid w:val="498D0C93"/>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F535C1"/>
    <w:rsid w:val="4AFF32E7"/>
    <w:rsid w:val="4B08573B"/>
    <w:rsid w:val="4B130CAC"/>
    <w:rsid w:val="4B1530DD"/>
    <w:rsid w:val="4B2F2866"/>
    <w:rsid w:val="4B372DDA"/>
    <w:rsid w:val="4B427D58"/>
    <w:rsid w:val="4B5E0F1C"/>
    <w:rsid w:val="4B626F00"/>
    <w:rsid w:val="4BC53B5B"/>
    <w:rsid w:val="4BD84EB3"/>
    <w:rsid w:val="4BDA30DC"/>
    <w:rsid w:val="4BE53FE4"/>
    <w:rsid w:val="4C083AFB"/>
    <w:rsid w:val="4C340FD6"/>
    <w:rsid w:val="4C4D4AF8"/>
    <w:rsid w:val="4C744BB3"/>
    <w:rsid w:val="4C851F32"/>
    <w:rsid w:val="4C964045"/>
    <w:rsid w:val="4CBF0100"/>
    <w:rsid w:val="4CC572D8"/>
    <w:rsid w:val="4CE2366D"/>
    <w:rsid w:val="4CF74EC2"/>
    <w:rsid w:val="4D010671"/>
    <w:rsid w:val="4D316B33"/>
    <w:rsid w:val="4D352FBB"/>
    <w:rsid w:val="4D643156"/>
    <w:rsid w:val="4D743D8A"/>
    <w:rsid w:val="4DA96C4E"/>
    <w:rsid w:val="4DCA2EC8"/>
    <w:rsid w:val="4DF70A62"/>
    <w:rsid w:val="4DFC7089"/>
    <w:rsid w:val="4E0614E3"/>
    <w:rsid w:val="4E2452B7"/>
    <w:rsid w:val="4E4B0299"/>
    <w:rsid w:val="4E695109"/>
    <w:rsid w:val="4E9C3B92"/>
    <w:rsid w:val="4E9D6524"/>
    <w:rsid w:val="4EA92A2A"/>
    <w:rsid w:val="4EAD1AF9"/>
    <w:rsid w:val="4EB40E5E"/>
    <w:rsid w:val="4EE23C1E"/>
    <w:rsid w:val="4F087627"/>
    <w:rsid w:val="4F0A5B3C"/>
    <w:rsid w:val="4F1913AC"/>
    <w:rsid w:val="4F471CD3"/>
    <w:rsid w:val="4F4F5A65"/>
    <w:rsid w:val="4F6426A9"/>
    <w:rsid w:val="4F642884"/>
    <w:rsid w:val="4F7A31F5"/>
    <w:rsid w:val="4F7D7EAE"/>
    <w:rsid w:val="4F9F2BDD"/>
    <w:rsid w:val="4FAE1E53"/>
    <w:rsid w:val="4FB607A2"/>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970CD"/>
    <w:rsid w:val="50AB2F6C"/>
    <w:rsid w:val="50B4528A"/>
    <w:rsid w:val="50B550E9"/>
    <w:rsid w:val="50C72D83"/>
    <w:rsid w:val="50E152EB"/>
    <w:rsid w:val="512F2A1E"/>
    <w:rsid w:val="5163596F"/>
    <w:rsid w:val="51642065"/>
    <w:rsid w:val="5178014C"/>
    <w:rsid w:val="51895F2D"/>
    <w:rsid w:val="518F48C5"/>
    <w:rsid w:val="51A0460E"/>
    <w:rsid w:val="51A823AB"/>
    <w:rsid w:val="51C656B6"/>
    <w:rsid w:val="51CC648B"/>
    <w:rsid w:val="51E202B2"/>
    <w:rsid w:val="52030FE6"/>
    <w:rsid w:val="52065DA2"/>
    <w:rsid w:val="520A7237"/>
    <w:rsid w:val="52240211"/>
    <w:rsid w:val="522E4D5D"/>
    <w:rsid w:val="524A71B5"/>
    <w:rsid w:val="524B4507"/>
    <w:rsid w:val="52642695"/>
    <w:rsid w:val="5279373F"/>
    <w:rsid w:val="528B1069"/>
    <w:rsid w:val="528D5BD8"/>
    <w:rsid w:val="528F0DD4"/>
    <w:rsid w:val="52930D7F"/>
    <w:rsid w:val="5296438C"/>
    <w:rsid w:val="530F2B4C"/>
    <w:rsid w:val="53144C5A"/>
    <w:rsid w:val="53403A04"/>
    <w:rsid w:val="53666F8B"/>
    <w:rsid w:val="537E6011"/>
    <w:rsid w:val="53846AE9"/>
    <w:rsid w:val="539469A8"/>
    <w:rsid w:val="53A40EB9"/>
    <w:rsid w:val="53AE0CB6"/>
    <w:rsid w:val="53D170F4"/>
    <w:rsid w:val="54271E31"/>
    <w:rsid w:val="543C1277"/>
    <w:rsid w:val="544F1C50"/>
    <w:rsid w:val="545A7783"/>
    <w:rsid w:val="54606A92"/>
    <w:rsid w:val="54611A81"/>
    <w:rsid w:val="54A3027F"/>
    <w:rsid w:val="54CF69F2"/>
    <w:rsid w:val="54DC110F"/>
    <w:rsid w:val="556A1C0B"/>
    <w:rsid w:val="55846FDD"/>
    <w:rsid w:val="558933C3"/>
    <w:rsid w:val="55B177EA"/>
    <w:rsid w:val="55CD48C4"/>
    <w:rsid w:val="55D45D46"/>
    <w:rsid w:val="55F936B0"/>
    <w:rsid w:val="560C425A"/>
    <w:rsid w:val="562365CA"/>
    <w:rsid w:val="56340430"/>
    <w:rsid w:val="56581D59"/>
    <w:rsid w:val="56654E19"/>
    <w:rsid w:val="568502CA"/>
    <w:rsid w:val="56B0773B"/>
    <w:rsid w:val="56B31E0C"/>
    <w:rsid w:val="56B71078"/>
    <w:rsid w:val="56C254B7"/>
    <w:rsid w:val="56DF73CA"/>
    <w:rsid w:val="5709588E"/>
    <w:rsid w:val="570A2A4C"/>
    <w:rsid w:val="570B437B"/>
    <w:rsid w:val="571760EF"/>
    <w:rsid w:val="571F7ADE"/>
    <w:rsid w:val="57792910"/>
    <w:rsid w:val="5781180D"/>
    <w:rsid w:val="57C42203"/>
    <w:rsid w:val="57C54F7B"/>
    <w:rsid w:val="57C77D46"/>
    <w:rsid w:val="57CF4F1B"/>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AD7B0E"/>
    <w:rsid w:val="59B87054"/>
    <w:rsid w:val="59B94A57"/>
    <w:rsid w:val="59D55070"/>
    <w:rsid w:val="59DA18AC"/>
    <w:rsid w:val="59E546A4"/>
    <w:rsid w:val="59FD6E5D"/>
    <w:rsid w:val="5A2A0DB1"/>
    <w:rsid w:val="5A2F5AF5"/>
    <w:rsid w:val="5A4439EB"/>
    <w:rsid w:val="5A621FCA"/>
    <w:rsid w:val="5A637B38"/>
    <w:rsid w:val="5A8D1386"/>
    <w:rsid w:val="5A93303B"/>
    <w:rsid w:val="5ABB6C3C"/>
    <w:rsid w:val="5ACD77B4"/>
    <w:rsid w:val="5AFF7905"/>
    <w:rsid w:val="5B1836AE"/>
    <w:rsid w:val="5B275269"/>
    <w:rsid w:val="5B386851"/>
    <w:rsid w:val="5B492C91"/>
    <w:rsid w:val="5B515ABF"/>
    <w:rsid w:val="5B5A797C"/>
    <w:rsid w:val="5B5B66DC"/>
    <w:rsid w:val="5B6B15AA"/>
    <w:rsid w:val="5B726179"/>
    <w:rsid w:val="5B987BF7"/>
    <w:rsid w:val="5B993CE6"/>
    <w:rsid w:val="5B9C16B8"/>
    <w:rsid w:val="5BAF6495"/>
    <w:rsid w:val="5BBB2383"/>
    <w:rsid w:val="5BF25754"/>
    <w:rsid w:val="5BF5497E"/>
    <w:rsid w:val="5C0F1DCA"/>
    <w:rsid w:val="5C1E13B0"/>
    <w:rsid w:val="5C4E3C3C"/>
    <w:rsid w:val="5C662A50"/>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929A0"/>
    <w:rsid w:val="5D894E7F"/>
    <w:rsid w:val="5D8D080D"/>
    <w:rsid w:val="5D935CE3"/>
    <w:rsid w:val="5DB539B0"/>
    <w:rsid w:val="5DB72F61"/>
    <w:rsid w:val="5DBF6493"/>
    <w:rsid w:val="5DC05209"/>
    <w:rsid w:val="5DC12605"/>
    <w:rsid w:val="5E252DFA"/>
    <w:rsid w:val="5E273AB6"/>
    <w:rsid w:val="5E3A6AA2"/>
    <w:rsid w:val="5E3E4C2D"/>
    <w:rsid w:val="5E5867E1"/>
    <w:rsid w:val="5E674F7E"/>
    <w:rsid w:val="5E874CE8"/>
    <w:rsid w:val="5EB00E5C"/>
    <w:rsid w:val="5ED35331"/>
    <w:rsid w:val="5ED5413E"/>
    <w:rsid w:val="5EE37831"/>
    <w:rsid w:val="5EEB7859"/>
    <w:rsid w:val="5F0A3D5F"/>
    <w:rsid w:val="5F155949"/>
    <w:rsid w:val="5F213F68"/>
    <w:rsid w:val="5F2F6349"/>
    <w:rsid w:val="5F600D4E"/>
    <w:rsid w:val="5F8E3078"/>
    <w:rsid w:val="5F956DDF"/>
    <w:rsid w:val="5F991667"/>
    <w:rsid w:val="5FA416F1"/>
    <w:rsid w:val="5FD93954"/>
    <w:rsid w:val="5FDC55D3"/>
    <w:rsid w:val="5FF469EE"/>
    <w:rsid w:val="5FFB0094"/>
    <w:rsid w:val="60160416"/>
    <w:rsid w:val="60305CC7"/>
    <w:rsid w:val="604A1238"/>
    <w:rsid w:val="60691A69"/>
    <w:rsid w:val="607A0217"/>
    <w:rsid w:val="607A4613"/>
    <w:rsid w:val="60A62DBA"/>
    <w:rsid w:val="60C03CCF"/>
    <w:rsid w:val="60C767F0"/>
    <w:rsid w:val="60C80C67"/>
    <w:rsid w:val="60D42D03"/>
    <w:rsid w:val="60E62C9D"/>
    <w:rsid w:val="60E7307A"/>
    <w:rsid w:val="61087BC8"/>
    <w:rsid w:val="611B62E0"/>
    <w:rsid w:val="61384E28"/>
    <w:rsid w:val="615E501E"/>
    <w:rsid w:val="6180773A"/>
    <w:rsid w:val="61A06374"/>
    <w:rsid w:val="62045801"/>
    <w:rsid w:val="622470A5"/>
    <w:rsid w:val="62247F4C"/>
    <w:rsid w:val="62263653"/>
    <w:rsid w:val="622D2FAA"/>
    <w:rsid w:val="62377615"/>
    <w:rsid w:val="625D25EA"/>
    <w:rsid w:val="62857C4E"/>
    <w:rsid w:val="6286607D"/>
    <w:rsid w:val="62A62781"/>
    <w:rsid w:val="62E05FC6"/>
    <w:rsid w:val="62FD3864"/>
    <w:rsid w:val="62FE2016"/>
    <w:rsid w:val="63464F7D"/>
    <w:rsid w:val="634B0772"/>
    <w:rsid w:val="635E3783"/>
    <w:rsid w:val="636E7A2E"/>
    <w:rsid w:val="637815DC"/>
    <w:rsid w:val="63815A2A"/>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8066C4"/>
    <w:rsid w:val="65912A7B"/>
    <w:rsid w:val="65A06DD6"/>
    <w:rsid w:val="65C900C9"/>
    <w:rsid w:val="65D2326E"/>
    <w:rsid w:val="660428AE"/>
    <w:rsid w:val="660D1E09"/>
    <w:rsid w:val="660E4242"/>
    <w:rsid w:val="662519F4"/>
    <w:rsid w:val="66354951"/>
    <w:rsid w:val="666A2C09"/>
    <w:rsid w:val="6679092A"/>
    <w:rsid w:val="669315AD"/>
    <w:rsid w:val="669F035C"/>
    <w:rsid w:val="66A84CFD"/>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43783"/>
    <w:rsid w:val="67B92A72"/>
    <w:rsid w:val="67D019D1"/>
    <w:rsid w:val="67D547C2"/>
    <w:rsid w:val="67D64A49"/>
    <w:rsid w:val="67E23D3D"/>
    <w:rsid w:val="67FA0E09"/>
    <w:rsid w:val="68075EA1"/>
    <w:rsid w:val="681E2A90"/>
    <w:rsid w:val="68233F9E"/>
    <w:rsid w:val="68277A88"/>
    <w:rsid w:val="68340B83"/>
    <w:rsid w:val="68446023"/>
    <w:rsid w:val="686831F8"/>
    <w:rsid w:val="689340A3"/>
    <w:rsid w:val="68A12E72"/>
    <w:rsid w:val="68DC73EC"/>
    <w:rsid w:val="68EE4073"/>
    <w:rsid w:val="68EF720B"/>
    <w:rsid w:val="69054B5C"/>
    <w:rsid w:val="69293200"/>
    <w:rsid w:val="694347AF"/>
    <w:rsid w:val="694F06EB"/>
    <w:rsid w:val="6963607F"/>
    <w:rsid w:val="696403F8"/>
    <w:rsid w:val="69766916"/>
    <w:rsid w:val="698D63CB"/>
    <w:rsid w:val="698F77F4"/>
    <w:rsid w:val="699D2360"/>
    <w:rsid w:val="69B23B9D"/>
    <w:rsid w:val="69C02956"/>
    <w:rsid w:val="69D05E80"/>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6F630E"/>
    <w:rsid w:val="6B707214"/>
    <w:rsid w:val="6B923E7E"/>
    <w:rsid w:val="6B9C69D2"/>
    <w:rsid w:val="6BA57391"/>
    <w:rsid w:val="6BB104FC"/>
    <w:rsid w:val="6BBB0AAB"/>
    <w:rsid w:val="6BC75657"/>
    <w:rsid w:val="6BD126F0"/>
    <w:rsid w:val="6BE1773A"/>
    <w:rsid w:val="6BE35659"/>
    <w:rsid w:val="6C2B66F7"/>
    <w:rsid w:val="6C56491E"/>
    <w:rsid w:val="6C5B64F3"/>
    <w:rsid w:val="6C99501C"/>
    <w:rsid w:val="6CAC2B5E"/>
    <w:rsid w:val="6CB001A9"/>
    <w:rsid w:val="6CB84F3A"/>
    <w:rsid w:val="6CD429A0"/>
    <w:rsid w:val="6D0540F4"/>
    <w:rsid w:val="6D05726A"/>
    <w:rsid w:val="6D286848"/>
    <w:rsid w:val="6D4D4308"/>
    <w:rsid w:val="6D673555"/>
    <w:rsid w:val="6D717C1E"/>
    <w:rsid w:val="6D9241D9"/>
    <w:rsid w:val="6D92611A"/>
    <w:rsid w:val="6D981B81"/>
    <w:rsid w:val="6D994274"/>
    <w:rsid w:val="6DB90857"/>
    <w:rsid w:val="6DC267F1"/>
    <w:rsid w:val="6E032FC6"/>
    <w:rsid w:val="6E083615"/>
    <w:rsid w:val="6E0D26B4"/>
    <w:rsid w:val="6E360FB8"/>
    <w:rsid w:val="6E44084F"/>
    <w:rsid w:val="6E464A29"/>
    <w:rsid w:val="6E4F3DA5"/>
    <w:rsid w:val="6E6F0BB4"/>
    <w:rsid w:val="6E6F1D57"/>
    <w:rsid w:val="6E7A62E4"/>
    <w:rsid w:val="6E9D2927"/>
    <w:rsid w:val="6EB25B0B"/>
    <w:rsid w:val="6EB80BA0"/>
    <w:rsid w:val="6ED37D90"/>
    <w:rsid w:val="6EDF02CD"/>
    <w:rsid w:val="6F00046B"/>
    <w:rsid w:val="6F065AB6"/>
    <w:rsid w:val="6F3364F9"/>
    <w:rsid w:val="6F441647"/>
    <w:rsid w:val="6F4D0F66"/>
    <w:rsid w:val="6F505503"/>
    <w:rsid w:val="6F556422"/>
    <w:rsid w:val="6F57424B"/>
    <w:rsid w:val="6F612830"/>
    <w:rsid w:val="6F7E6BF3"/>
    <w:rsid w:val="6F9E5543"/>
    <w:rsid w:val="6FC27DA8"/>
    <w:rsid w:val="6FCC5BE7"/>
    <w:rsid w:val="6FD10B10"/>
    <w:rsid w:val="6FE61F22"/>
    <w:rsid w:val="6FFD00DA"/>
    <w:rsid w:val="6FFF03F0"/>
    <w:rsid w:val="701F34FD"/>
    <w:rsid w:val="70352925"/>
    <w:rsid w:val="70505871"/>
    <w:rsid w:val="7059136B"/>
    <w:rsid w:val="706B4405"/>
    <w:rsid w:val="70732893"/>
    <w:rsid w:val="70801B07"/>
    <w:rsid w:val="7080699B"/>
    <w:rsid w:val="709A7A5C"/>
    <w:rsid w:val="70A1406F"/>
    <w:rsid w:val="70B0465E"/>
    <w:rsid w:val="70EE7DA8"/>
    <w:rsid w:val="70FE623D"/>
    <w:rsid w:val="71162540"/>
    <w:rsid w:val="714C3BDE"/>
    <w:rsid w:val="715B3C2A"/>
    <w:rsid w:val="717A163C"/>
    <w:rsid w:val="71803C89"/>
    <w:rsid w:val="71994E64"/>
    <w:rsid w:val="719972E4"/>
    <w:rsid w:val="71CA7676"/>
    <w:rsid w:val="71DE606F"/>
    <w:rsid w:val="71E117BB"/>
    <w:rsid w:val="71E22C51"/>
    <w:rsid w:val="71EA7695"/>
    <w:rsid w:val="71EE7FB9"/>
    <w:rsid w:val="72155E50"/>
    <w:rsid w:val="721D341E"/>
    <w:rsid w:val="72536FDC"/>
    <w:rsid w:val="727D75DF"/>
    <w:rsid w:val="72AE10AA"/>
    <w:rsid w:val="72BB74DD"/>
    <w:rsid w:val="72D36E77"/>
    <w:rsid w:val="72DD2BAD"/>
    <w:rsid w:val="72FB66FD"/>
    <w:rsid w:val="732872C5"/>
    <w:rsid w:val="733235D8"/>
    <w:rsid w:val="73495606"/>
    <w:rsid w:val="734B6169"/>
    <w:rsid w:val="7360086A"/>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B770A6"/>
    <w:rsid w:val="76BB3818"/>
    <w:rsid w:val="76CE7275"/>
    <w:rsid w:val="76D4637C"/>
    <w:rsid w:val="76DD60BF"/>
    <w:rsid w:val="76E4362B"/>
    <w:rsid w:val="770A1659"/>
    <w:rsid w:val="7712242B"/>
    <w:rsid w:val="771F60E4"/>
    <w:rsid w:val="77231D40"/>
    <w:rsid w:val="773A7A8E"/>
    <w:rsid w:val="77545067"/>
    <w:rsid w:val="77592400"/>
    <w:rsid w:val="77703F76"/>
    <w:rsid w:val="777D1E86"/>
    <w:rsid w:val="77825F67"/>
    <w:rsid w:val="77906613"/>
    <w:rsid w:val="77B91A42"/>
    <w:rsid w:val="77C22AA7"/>
    <w:rsid w:val="77C5780E"/>
    <w:rsid w:val="77C87F9B"/>
    <w:rsid w:val="77F35CA4"/>
    <w:rsid w:val="781A76D5"/>
    <w:rsid w:val="782F327E"/>
    <w:rsid w:val="78397A32"/>
    <w:rsid w:val="78A06277"/>
    <w:rsid w:val="78C64F8E"/>
    <w:rsid w:val="791A1EB8"/>
    <w:rsid w:val="791E4FA3"/>
    <w:rsid w:val="79402950"/>
    <w:rsid w:val="797161CD"/>
    <w:rsid w:val="797167CA"/>
    <w:rsid w:val="798E4E1E"/>
    <w:rsid w:val="799E2AB3"/>
    <w:rsid w:val="79A37A59"/>
    <w:rsid w:val="79C61A14"/>
    <w:rsid w:val="79C85435"/>
    <w:rsid w:val="79EE5B89"/>
    <w:rsid w:val="79F05A1B"/>
    <w:rsid w:val="79F05C22"/>
    <w:rsid w:val="7A020CA3"/>
    <w:rsid w:val="7A067805"/>
    <w:rsid w:val="7A5E5838"/>
    <w:rsid w:val="7A7620C4"/>
    <w:rsid w:val="7AA408FA"/>
    <w:rsid w:val="7AD65B35"/>
    <w:rsid w:val="7B123707"/>
    <w:rsid w:val="7B236D19"/>
    <w:rsid w:val="7B307625"/>
    <w:rsid w:val="7B347CEC"/>
    <w:rsid w:val="7B576B4E"/>
    <w:rsid w:val="7B761608"/>
    <w:rsid w:val="7B761892"/>
    <w:rsid w:val="7B87133C"/>
    <w:rsid w:val="7BC10593"/>
    <w:rsid w:val="7BF4357B"/>
    <w:rsid w:val="7C105077"/>
    <w:rsid w:val="7C416F95"/>
    <w:rsid w:val="7C4E5B9F"/>
    <w:rsid w:val="7C580760"/>
    <w:rsid w:val="7C824B4A"/>
    <w:rsid w:val="7C8B3404"/>
    <w:rsid w:val="7C9868DA"/>
    <w:rsid w:val="7C9C47E0"/>
    <w:rsid w:val="7C9E070C"/>
    <w:rsid w:val="7CBB152F"/>
    <w:rsid w:val="7D193EA6"/>
    <w:rsid w:val="7D1C38BC"/>
    <w:rsid w:val="7D2C343C"/>
    <w:rsid w:val="7D3603BB"/>
    <w:rsid w:val="7D4C3183"/>
    <w:rsid w:val="7D513B66"/>
    <w:rsid w:val="7D7609A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2994</Words>
  <Characters>16736</Characters>
  <Lines>49</Lines>
  <Paragraphs>13</Paragraphs>
  <TotalTime>2</TotalTime>
  <ScaleCrop>false</ScaleCrop>
  <LinksUpToDate>false</LinksUpToDate>
  <CharactersWithSpaces>19564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2025-05-09T03:26:17Z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A5F9C12E7852421ABD279DD865056970_13</vt:lpwstr>
  </property>
  <property fmtid="{D5CDD505-2E9C-101B-9397-08002B2CF9AE}" pid="4" name="KSOTemplateDocerSaveRecord">
    <vt:lpwstr>eyJoZGlkIjoiMzEwNTM5NzYwMDRjMzkwZTVkZjY2ODkwMGIxNGU0OTUiLCJ1c2VySWQiOiI1MDQ0ODU3MTMifQ==</vt:lpwstr>
  </property>
</Properties>
</file>